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E5883">
      <w:pPr>
        <w:ind w:firstLine="0"/>
        <w:rPr>
          <w:rFonts w:hint="eastAsia" w:ascii="仿宋" w:hAnsi="仿宋" w:eastAsia="仿宋" w:cs="仿宋"/>
          <w:b/>
          <w:bCs/>
          <w:color w:val="auto"/>
          <w:sz w:val="84"/>
          <w:highlight w:val="none"/>
          <w:lang w:eastAsia="zh-CN"/>
        </w:rPr>
      </w:pPr>
    </w:p>
    <w:p w14:paraId="33368BAB">
      <w:pPr>
        <w:ind w:firstLine="0"/>
        <w:jc w:val="center"/>
        <w:rPr>
          <w:rFonts w:hint="eastAsia" w:ascii="仿宋" w:hAnsi="仿宋" w:eastAsia="仿宋" w:cs="仿宋"/>
          <w:b/>
          <w:bCs/>
          <w:color w:val="auto"/>
          <w:sz w:val="84"/>
          <w:highlight w:val="none"/>
        </w:rPr>
      </w:pPr>
      <w:bookmarkStart w:id="171" w:name="_GoBack"/>
      <w:bookmarkEnd w:id="171"/>
    </w:p>
    <w:p w14:paraId="5ABC7EA4">
      <w:pPr>
        <w:ind w:firstLine="0"/>
        <w:jc w:val="center"/>
        <w:rPr>
          <w:rFonts w:hint="eastAsia" w:ascii="仿宋" w:hAnsi="仿宋" w:eastAsia="仿宋" w:cs="仿宋"/>
          <w:b/>
          <w:bCs/>
          <w:color w:val="auto"/>
          <w:sz w:val="84"/>
          <w:highlight w:val="none"/>
        </w:rPr>
      </w:pPr>
      <w:r>
        <w:rPr>
          <w:rFonts w:hint="eastAsia" w:ascii="仿宋" w:hAnsi="仿宋" w:eastAsia="仿宋" w:cs="仿宋"/>
          <w:b/>
          <w:bCs/>
          <w:color w:val="auto"/>
          <w:sz w:val="84"/>
          <w:highlight w:val="none"/>
        </w:rPr>
        <w:t>招  标  文  件</w:t>
      </w:r>
    </w:p>
    <w:p w14:paraId="5A58013E">
      <w:pPr>
        <w:ind w:firstLine="0"/>
        <w:jc w:val="both"/>
        <w:rPr>
          <w:rFonts w:hint="eastAsia" w:ascii="仿宋" w:hAnsi="仿宋" w:eastAsia="仿宋" w:cs="仿宋"/>
          <w:b/>
          <w:bCs/>
          <w:color w:val="auto"/>
          <w:sz w:val="84"/>
          <w:highlight w:val="none"/>
          <w:lang w:eastAsia="zh-CN"/>
        </w:rPr>
      </w:pPr>
    </w:p>
    <w:tbl>
      <w:tblPr>
        <w:tblStyle w:val="2"/>
        <w:tblpPr w:leftFromText="180" w:rightFromText="180" w:vertAnchor="text" w:horzAnchor="page" w:tblpXSpec="center" w:tblpY="466"/>
        <w:tblW w:w="4998" w:type="pct"/>
        <w:jc w:val="center"/>
        <w:tblLayout w:type="autofit"/>
        <w:tblCellMar>
          <w:top w:w="0" w:type="dxa"/>
          <w:left w:w="108" w:type="dxa"/>
          <w:bottom w:w="0" w:type="dxa"/>
          <w:right w:w="108" w:type="dxa"/>
        </w:tblCellMar>
      </w:tblPr>
      <w:tblGrid>
        <w:gridCol w:w="2680"/>
        <w:gridCol w:w="6485"/>
      </w:tblGrid>
      <w:tr w14:paraId="7D0E0163">
        <w:tblPrEx>
          <w:tblCellMar>
            <w:top w:w="0" w:type="dxa"/>
            <w:left w:w="108" w:type="dxa"/>
            <w:bottom w:w="0" w:type="dxa"/>
            <w:right w:w="108" w:type="dxa"/>
          </w:tblCellMar>
        </w:tblPrEx>
        <w:trPr>
          <w:trHeight w:val="586" w:hRule="atLeast"/>
          <w:jc w:val="center"/>
        </w:trPr>
        <w:tc>
          <w:tcPr>
            <w:tcW w:w="1462" w:type="pct"/>
            <w:vAlign w:val="center"/>
          </w:tcPr>
          <w:p w14:paraId="121D284C">
            <w:pPr>
              <w:spacing w:line="5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30"/>
                <w:szCs w:val="30"/>
                <w:highlight w:val="none"/>
              </w:rPr>
              <w:t>项目名称：</w:t>
            </w:r>
          </w:p>
        </w:tc>
        <w:tc>
          <w:tcPr>
            <w:tcW w:w="3537" w:type="pct"/>
            <w:vAlign w:val="center"/>
          </w:tcPr>
          <w:p w14:paraId="6AC5B508">
            <w:pPr>
              <w:spacing w:line="500" w:lineRule="exact"/>
              <w:jc w:val="left"/>
              <w:rPr>
                <w:rFonts w:hint="eastAsia" w:ascii="黑体" w:hAnsi="黑体" w:eastAsia="黑体" w:cs="黑体"/>
                <w:color w:val="auto"/>
                <w:sz w:val="24"/>
                <w:szCs w:val="24"/>
                <w:highlight w:val="none"/>
              </w:rPr>
            </w:pPr>
            <w:r>
              <w:rPr>
                <w:rFonts w:hint="eastAsia" w:ascii="黑体" w:hAnsi="黑体" w:eastAsia="黑体" w:cs="黑体"/>
                <w:color w:val="auto"/>
                <w:sz w:val="30"/>
                <w:szCs w:val="30"/>
                <w:highlight w:val="none"/>
                <w:lang w:eastAsia="zh-CN"/>
              </w:rPr>
              <w:t>宿迁市申报国际湿地城市认证技术服务项目</w:t>
            </w:r>
          </w:p>
        </w:tc>
      </w:tr>
      <w:tr w14:paraId="021112C3">
        <w:tblPrEx>
          <w:tblCellMar>
            <w:top w:w="0" w:type="dxa"/>
            <w:left w:w="108" w:type="dxa"/>
            <w:bottom w:w="0" w:type="dxa"/>
            <w:right w:w="108" w:type="dxa"/>
          </w:tblCellMar>
        </w:tblPrEx>
        <w:trPr>
          <w:trHeight w:val="617" w:hRule="atLeast"/>
          <w:jc w:val="center"/>
        </w:trPr>
        <w:tc>
          <w:tcPr>
            <w:tcW w:w="1462" w:type="pct"/>
            <w:vAlign w:val="center"/>
          </w:tcPr>
          <w:p w14:paraId="455F7182">
            <w:pPr>
              <w:spacing w:line="500" w:lineRule="exact"/>
              <w:jc w:val="center"/>
              <w:rPr>
                <w:rFonts w:hint="eastAsia" w:ascii="黑体" w:hAnsi="黑体" w:eastAsia="黑体" w:cs="黑体"/>
                <w:color w:val="auto"/>
                <w:spacing w:val="45"/>
                <w:sz w:val="32"/>
                <w:szCs w:val="24"/>
                <w:highlight w:val="none"/>
              </w:rPr>
            </w:pPr>
            <w:r>
              <w:rPr>
                <w:rFonts w:hint="eastAsia" w:ascii="黑体" w:hAnsi="黑体" w:eastAsia="黑体" w:cs="黑体"/>
                <w:color w:val="auto"/>
                <w:sz w:val="30"/>
                <w:szCs w:val="30"/>
                <w:highlight w:val="none"/>
              </w:rPr>
              <w:t>项目编号：</w:t>
            </w:r>
          </w:p>
        </w:tc>
        <w:tc>
          <w:tcPr>
            <w:tcW w:w="3537" w:type="pct"/>
            <w:vAlign w:val="center"/>
          </w:tcPr>
          <w:p w14:paraId="0F58F5C3">
            <w:pPr>
              <w:spacing w:line="500" w:lineRule="exact"/>
              <w:jc w:val="left"/>
              <w:rPr>
                <w:rFonts w:hint="eastAsia" w:ascii="黑体" w:hAnsi="黑体" w:eastAsia="黑体" w:cs="黑体"/>
                <w:color w:val="auto"/>
                <w:sz w:val="24"/>
                <w:szCs w:val="24"/>
                <w:highlight w:val="none"/>
                <w:lang w:eastAsia="zh-CN"/>
              </w:rPr>
            </w:pPr>
            <w:r>
              <w:rPr>
                <w:rFonts w:hint="eastAsia" w:ascii="黑体" w:hAnsi="黑体" w:eastAsia="黑体" w:cs="黑体"/>
                <w:color w:val="auto"/>
                <w:sz w:val="32"/>
                <w:szCs w:val="24"/>
                <w:highlight w:val="none"/>
                <w:lang w:eastAsia="zh-CN"/>
              </w:rPr>
              <w:t>系统生成</w:t>
            </w:r>
          </w:p>
        </w:tc>
      </w:tr>
    </w:tbl>
    <w:p w14:paraId="38583282">
      <w:pPr>
        <w:jc w:val="center"/>
        <w:rPr>
          <w:rFonts w:hint="eastAsia" w:ascii="仿宋" w:hAnsi="仿宋" w:eastAsia="仿宋" w:cs="仿宋"/>
          <w:b/>
          <w:color w:val="auto"/>
          <w:sz w:val="30"/>
          <w:szCs w:val="30"/>
          <w:highlight w:val="none"/>
        </w:rPr>
      </w:pPr>
    </w:p>
    <w:p w14:paraId="5E9B3A7D">
      <w:pPr>
        <w:spacing w:before="0" w:after="0"/>
        <w:ind w:firstLine="0"/>
        <w:jc w:val="center"/>
        <w:rPr>
          <w:rFonts w:hint="eastAsia" w:ascii="仿宋" w:hAnsi="仿宋" w:eastAsia="仿宋" w:cs="仿宋"/>
          <w:color w:val="auto"/>
          <w:highlight w:val="none"/>
        </w:rPr>
      </w:pPr>
    </w:p>
    <w:p w14:paraId="5482BE35">
      <w:pPr>
        <w:spacing w:before="0" w:after="0"/>
        <w:ind w:firstLine="0"/>
        <w:jc w:val="center"/>
        <w:rPr>
          <w:rFonts w:hint="eastAsia" w:ascii="仿宋" w:hAnsi="仿宋" w:eastAsia="仿宋" w:cs="仿宋"/>
          <w:color w:val="auto"/>
          <w:highlight w:val="none"/>
        </w:rPr>
      </w:pPr>
    </w:p>
    <w:p w14:paraId="2B127580">
      <w:pPr>
        <w:spacing w:before="0" w:after="0"/>
        <w:ind w:firstLine="0"/>
        <w:jc w:val="center"/>
        <w:rPr>
          <w:rFonts w:hint="eastAsia" w:ascii="仿宋" w:hAnsi="仿宋" w:eastAsia="仿宋" w:cs="仿宋"/>
          <w:color w:val="auto"/>
          <w:highlight w:val="none"/>
        </w:rPr>
      </w:pPr>
    </w:p>
    <w:p w14:paraId="3365BD35">
      <w:pPr>
        <w:spacing w:before="0" w:after="0"/>
        <w:ind w:firstLine="0"/>
        <w:jc w:val="center"/>
        <w:rPr>
          <w:rFonts w:hint="eastAsia" w:ascii="仿宋" w:hAnsi="仿宋" w:eastAsia="仿宋" w:cs="仿宋"/>
          <w:color w:val="auto"/>
          <w:highlight w:val="none"/>
        </w:rPr>
      </w:pPr>
    </w:p>
    <w:p w14:paraId="1763C122">
      <w:pPr>
        <w:spacing w:before="0" w:after="0"/>
        <w:ind w:firstLine="0"/>
        <w:jc w:val="center"/>
        <w:rPr>
          <w:rFonts w:hint="eastAsia" w:ascii="仿宋" w:hAnsi="仿宋" w:eastAsia="仿宋" w:cs="仿宋"/>
          <w:color w:val="auto"/>
          <w:highlight w:val="none"/>
        </w:rPr>
      </w:pPr>
    </w:p>
    <w:tbl>
      <w:tblPr>
        <w:tblStyle w:val="2"/>
        <w:tblpPr w:leftFromText="180" w:rightFromText="180" w:vertAnchor="text" w:horzAnchor="page" w:tblpXSpec="center" w:tblpY="466"/>
        <w:tblW w:w="4997" w:type="pct"/>
        <w:jc w:val="center"/>
        <w:tblLayout w:type="autofit"/>
        <w:tblCellMar>
          <w:top w:w="0" w:type="dxa"/>
          <w:left w:w="108" w:type="dxa"/>
          <w:bottom w:w="0" w:type="dxa"/>
          <w:right w:w="108" w:type="dxa"/>
        </w:tblCellMar>
      </w:tblPr>
      <w:tblGrid>
        <w:gridCol w:w="2694"/>
        <w:gridCol w:w="6469"/>
      </w:tblGrid>
      <w:tr w14:paraId="1ADFCE0B">
        <w:tblPrEx>
          <w:tblCellMar>
            <w:top w:w="0" w:type="dxa"/>
            <w:left w:w="108" w:type="dxa"/>
            <w:bottom w:w="0" w:type="dxa"/>
            <w:right w:w="108" w:type="dxa"/>
          </w:tblCellMar>
        </w:tblPrEx>
        <w:trPr>
          <w:trHeight w:val="586" w:hRule="atLeast"/>
          <w:jc w:val="center"/>
        </w:trPr>
        <w:tc>
          <w:tcPr>
            <w:tcW w:w="1470" w:type="pct"/>
            <w:vAlign w:val="center"/>
          </w:tcPr>
          <w:p w14:paraId="488EDC2F">
            <w:pPr>
              <w:spacing w:line="5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pacing w:val="45"/>
                <w:sz w:val="32"/>
                <w:szCs w:val="24"/>
                <w:highlight w:val="none"/>
              </w:rPr>
              <w:t>采购人</w:t>
            </w:r>
            <w:r>
              <w:rPr>
                <w:rFonts w:hint="eastAsia" w:ascii="黑体" w:hAnsi="黑体" w:eastAsia="黑体" w:cs="黑体"/>
                <w:color w:val="auto"/>
                <w:spacing w:val="1"/>
                <w:sz w:val="32"/>
                <w:szCs w:val="24"/>
                <w:highlight w:val="none"/>
              </w:rPr>
              <w:t>：</w:t>
            </w:r>
          </w:p>
        </w:tc>
        <w:tc>
          <w:tcPr>
            <w:tcW w:w="3529" w:type="pct"/>
            <w:vAlign w:val="center"/>
          </w:tcPr>
          <w:p w14:paraId="726F64A4">
            <w:pPr>
              <w:spacing w:line="500" w:lineRule="exact"/>
              <w:jc w:val="left"/>
              <w:rPr>
                <w:rFonts w:hint="eastAsia" w:ascii="黑体" w:hAnsi="黑体" w:eastAsia="黑体" w:cs="黑体"/>
                <w:color w:val="auto"/>
                <w:sz w:val="24"/>
                <w:szCs w:val="24"/>
                <w:highlight w:val="none"/>
              </w:rPr>
            </w:pPr>
            <w:r>
              <w:rPr>
                <w:rFonts w:hint="eastAsia" w:ascii="黑体" w:hAnsi="黑体" w:eastAsia="黑体" w:cs="黑体"/>
                <w:color w:val="auto"/>
                <w:sz w:val="32"/>
                <w:szCs w:val="24"/>
                <w:highlight w:val="none"/>
                <w:lang w:eastAsia="zh-CN"/>
              </w:rPr>
              <w:t>宿迁市自然资源和规划局</w:t>
            </w:r>
          </w:p>
        </w:tc>
      </w:tr>
      <w:tr w14:paraId="5AC9139A">
        <w:tblPrEx>
          <w:tblCellMar>
            <w:top w:w="0" w:type="dxa"/>
            <w:left w:w="108" w:type="dxa"/>
            <w:bottom w:w="0" w:type="dxa"/>
            <w:right w:w="108" w:type="dxa"/>
          </w:tblCellMar>
        </w:tblPrEx>
        <w:trPr>
          <w:trHeight w:val="617" w:hRule="atLeast"/>
          <w:jc w:val="center"/>
        </w:trPr>
        <w:tc>
          <w:tcPr>
            <w:tcW w:w="1470" w:type="pct"/>
            <w:vAlign w:val="center"/>
          </w:tcPr>
          <w:p w14:paraId="59157DD5">
            <w:pPr>
              <w:spacing w:line="500" w:lineRule="exact"/>
              <w:jc w:val="center"/>
              <w:rPr>
                <w:rFonts w:hint="eastAsia" w:ascii="黑体" w:hAnsi="黑体" w:eastAsia="黑体" w:cs="黑体"/>
                <w:color w:val="auto"/>
                <w:spacing w:val="45"/>
                <w:sz w:val="32"/>
                <w:szCs w:val="24"/>
                <w:highlight w:val="none"/>
              </w:rPr>
            </w:pPr>
            <w:r>
              <w:rPr>
                <w:rFonts w:hint="eastAsia" w:ascii="黑体" w:hAnsi="黑体" w:eastAsia="黑体" w:cs="黑体"/>
                <w:color w:val="auto"/>
                <w:sz w:val="32"/>
                <w:szCs w:val="24"/>
                <w:highlight w:val="none"/>
              </w:rPr>
              <w:t>采购代理机构：</w:t>
            </w:r>
          </w:p>
        </w:tc>
        <w:tc>
          <w:tcPr>
            <w:tcW w:w="3529" w:type="pct"/>
            <w:vAlign w:val="center"/>
          </w:tcPr>
          <w:p w14:paraId="490C74F3">
            <w:pPr>
              <w:spacing w:line="500" w:lineRule="exact"/>
              <w:jc w:val="left"/>
              <w:rPr>
                <w:rFonts w:hint="eastAsia" w:ascii="黑体" w:hAnsi="黑体" w:eastAsia="黑体" w:cs="黑体"/>
                <w:color w:val="auto"/>
                <w:sz w:val="24"/>
                <w:szCs w:val="24"/>
                <w:highlight w:val="none"/>
              </w:rPr>
            </w:pPr>
            <w:r>
              <w:rPr>
                <w:rFonts w:hint="eastAsia" w:ascii="黑体" w:hAnsi="黑体" w:eastAsia="黑体" w:cs="黑体"/>
                <w:color w:val="auto"/>
                <w:sz w:val="32"/>
                <w:szCs w:val="24"/>
                <w:highlight w:val="none"/>
              </w:rPr>
              <w:t>江苏宏壮工程项目管理有限公司</w:t>
            </w:r>
          </w:p>
        </w:tc>
      </w:tr>
    </w:tbl>
    <w:p w14:paraId="0DC7BE8C">
      <w:pPr>
        <w:spacing w:before="0" w:after="0"/>
        <w:ind w:firstLine="0"/>
        <w:jc w:val="center"/>
        <w:rPr>
          <w:rFonts w:hint="eastAsia" w:ascii="仿宋" w:hAnsi="仿宋" w:eastAsia="仿宋" w:cs="仿宋"/>
          <w:color w:val="auto"/>
          <w:highlight w:val="none"/>
        </w:rPr>
      </w:pPr>
    </w:p>
    <w:p w14:paraId="596AA0B7">
      <w:pPr>
        <w:ind w:left="0" w:firstLine="0"/>
        <w:jc w:val="center"/>
        <w:rPr>
          <w:rFonts w:hint="eastAsia" w:ascii="仿宋" w:hAnsi="仿宋" w:eastAsia="仿宋" w:cs="仿宋"/>
          <w:b/>
          <w:bCs/>
          <w:color w:val="auto"/>
          <w:sz w:val="32"/>
          <w:highlight w:val="none"/>
          <w:u w:val="single"/>
        </w:rPr>
      </w:pPr>
    </w:p>
    <w:p w14:paraId="04096C84">
      <w:pPr>
        <w:ind w:left="0" w:firstLine="0"/>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u w:val="single"/>
        </w:rPr>
        <w:t>202</w:t>
      </w:r>
      <w:r>
        <w:rPr>
          <w:rFonts w:hint="eastAsia" w:ascii="仿宋" w:hAnsi="仿宋" w:eastAsia="仿宋" w:cs="仿宋"/>
          <w:b/>
          <w:bCs/>
          <w:color w:val="auto"/>
          <w:sz w:val="32"/>
          <w:highlight w:val="none"/>
          <w:u w:val="single"/>
          <w:lang w:val="en-US" w:eastAsia="zh-CN"/>
        </w:rPr>
        <w:t>5</w:t>
      </w:r>
      <w:r>
        <w:rPr>
          <w:rFonts w:hint="eastAsia" w:ascii="仿宋" w:hAnsi="仿宋" w:eastAsia="仿宋" w:cs="仿宋"/>
          <w:b/>
          <w:bCs/>
          <w:color w:val="auto"/>
          <w:sz w:val="32"/>
          <w:highlight w:val="none"/>
        </w:rPr>
        <w:t>年</w:t>
      </w:r>
      <w:r>
        <w:rPr>
          <w:rFonts w:hint="eastAsia" w:ascii="仿宋" w:hAnsi="仿宋" w:eastAsia="仿宋" w:cs="仿宋"/>
          <w:b/>
          <w:bCs/>
          <w:color w:val="auto"/>
          <w:sz w:val="32"/>
          <w:highlight w:val="none"/>
          <w:u w:val="single"/>
          <w:lang w:val="en-US" w:eastAsia="zh-CN"/>
        </w:rPr>
        <w:t>10</w:t>
      </w:r>
      <w:r>
        <w:rPr>
          <w:rFonts w:hint="eastAsia" w:ascii="仿宋" w:hAnsi="仿宋" w:eastAsia="仿宋" w:cs="仿宋"/>
          <w:b/>
          <w:bCs/>
          <w:color w:val="auto"/>
          <w:sz w:val="32"/>
          <w:highlight w:val="none"/>
        </w:rPr>
        <w:t>月</w:t>
      </w:r>
      <w:r>
        <w:rPr>
          <w:rFonts w:hint="eastAsia" w:ascii="仿宋" w:hAnsi="仿宋" w:eastAsia="仿宋" w:cs="仿宋"/>
          <w:b/>
          <w:bCs/>
          <w:color w:val="auto"/>
          <w:sz w:val="32"/>
          <w:highlight w:val="none"/>
          <w:u w:val="single"/>
          <w:lang w:val="en-US" w:eastAsia="zh-CN"/>
        </w:rPr>
        <w:t>14</w:t>
      </w:r>
      <w:r>
        <w:rPr>
          <w:rFonts w:hint="eastAsia" w:ascii="仿宋" w:hAnsi="仿宋" w:eastAsia="仿宋" w:cs="仿宋"/>
          <w:b/>
          <w:bCs/>
          <w:color w:val="auto"/>
          <w:sz w:val="32"/>
          <w:highlight w:val="none"/>
        </w:rPr>
        <w:t>日</w:t>
      </w:r>
    </w:p>
    <w:p w14:paraId="0931A093">
      <w:pPr>
        <w:ind w:firstLine="0"/>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w:t>
      </w:r>
    </w:p>
    <w:p w14:paraId="1CD66688">
      <w:pPr>
        <w:ind w:firstLine="0"/>
        <w:jc w:val="center"/>
        <w:rPr>
          <w:rFonts w:hint="eastAsia" w:ascii="仿宋" w:hAnsi="仿宋" w:eastAsia="仿宋" w:cs="仿宋"/>
          <w:color w:val="auto"/>
          <w:highlight w:val="none"/>
        </w:rPr>
      </w:pPr>
    </w:p>
    <w:p w14:paraId="31A5D2D5">
      <w:pPr>
        <w:rPr>
          <w:rFonts w:hint="eastAsia" w:ascii="仿宋" w:hAnsi="仿宋" w:eastAsia="仿宋" w:cs="仿宋"/>
          <w:color w:val="auto"/>
          <w:highlight w:val="none"/>
        </w:rPr>
        <w:sectPr>
          <w:headerReference r:id="rId3" w:type="default"/>
          <w:pgSz w:w="11906" w:h="16838"/>
          <w:pgMar w:top="1418" w:right="1588" w:bottom="1418" w:left="1365" w:header="851" w:footer="907" w:gutter="0"/>
          <w:pgBorders>
            <w:top w:val="none" w:sz="0" w:space="0"/>
            <w:left w:val="none" w:sz="0" w:space="0"/>
            <w:bottom w:val="none" w:sz="0" w:space="0"/>
            <w:right w:val="none" w:sz="0" w:space="0"/>
          </w:pgBorders>
          <w:pgNumType w:fmt="decimal" w:start="1"/>
          <w:cols w:space="1701" w:num="1"/>
          <w:titlePg/>
          <w:docGrid w:linePitch="360" w:charSpace="0"/>
        </w:sectPr>
      </w:pPr>
    </w:p>
    <w:p w14:paraId="050B6566">
      <w:pPr>
        <w:rPr>
          <w:rFonts w:hint="eastAsia" w:ascii="仿宋" w:hAnsi="仿宋" w:eastAsia="仿宋" w:cs="仿宋"/>
          <w:color w:val="auto"/>
          <w:highlight w:val="none"/>
        </w:rPr>
      </w:pPr>
    </w:p>
    <w:p w14:paraId="451548AA">
      <w:pPr>
        <w:rPr>
          <w:rFonts w:hint="eastAsia" w:ascii="仿宋" w:hAnsi="仿宋" w:eastAsia="仿宋" w:cs="仿宋"/>
          <w:color w:val="auto"/>
          <w:highlight w:val="none"/>
        </w:rPr>
      </w:pPr>
    </w:p>
    <w:sdt>
      <w:sdtPr>
        <w:rPr>
          <w:rFonts w:hint="eastAsia" w:ascii="仿宋" w:hAnsi="仿宋" w:eastAsia="仿宋" w:cs="仿宋"/>
          <w:b w:val="0"/>
          <w:bCs w:val="0"/>
          <w:color w:val="auto"/>
          <w:sz w:val="21"/>
          <w:szCs w:val="21"/>
          <w:highlight w:val="none"/>
          <w:lang w:val="en-US" w:eastAsia="zh-CN" w:bidi="ar-SA"/>
        </w:rPr>
        <w:id w:val="147471173"/>
        <w15:color w:val="DBDBDB"/>
        <w:docPartObj>
          <w:docPartGallery w:val="Table of Contents"/>
          <w:docPartUnique/>
        </w:docPartObj>
      </w:sdtPr>
      <w:sdtEndPr>
        <w:rPr>
          <w:rFonts w:hint="eastAsia" w:ascii="黑体" w:hAnsi="黑体" w:eastAsia="黑体" w:cs="黑体"/>
          <w:b w:val="0"/>
          <w:bCs w:val="0"/>
          <w:color w:val="auto"/>
          <w:sz w:val="21"/>
          <w:szCs w:val="21"/>
          <w:highlight w:val="none"/>
          <w:lang w:val="en-US" w:eastAsia="zh-CN" w:bidi="ar-SA"/>
        </w:rPr>
      </w:sdtEndPr>
      <w:sdtContent>
        <w:p w14:paraId="63A39EC2">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44"/>
              <w:szCs w:val="44"/>
              <w:highlight w:val="none"/>
            </w:rPr>
            <w:t>目录</w:t>
          </w:r>
        </w:p>
        <w:p w14:paraId="557195D1">
          <w:pPr>
            <w:keepNext w:val="0"/>
            <w:keepLines w:val="0"/>
            <w:pageBreakBefore w:val="0"/>
            <w:widowControl w:val="0"/>
            <w:tabs>
              <w:tab w:val="right" w:leader="dot" w:pos="8953"/>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TOC \o "1-1" \h \u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_Toc29317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第一章  投标邀请</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PAGEREF _Toc29317 \h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fldChar w:fldCharType="end"/>
          </w:r>
        </w:p>
        <w:p w14:paraId="6248FBF6">
          <w:pPr>
            <w:keepNext w:val="0"/>
            <w:keepLines w:val="0"/>
            <w:pageBreakBefore w:val="0"/>
            <w:widowControl w:val="0"/>
            <w:tabs>
              <w:tab w:val="right" w:leader="dot" w:pos="8953"/>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_Toc7933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lang w:val="en-US" w:eastAsia="zh-CN"/>
            </w:rPr>
            <w:t>第二章</w:t>
          </w:r>
          <w:r>
            <w:rPr>
              <w:rFonts w:hint="eastAsia" w:ascii="黑体" w:hAnsi="黑体" w:eastAsia="黑体" w:cs="黑体"/>
              <w:color w:val="auto"/>
              <w:sz w:val="32"/>
              <w:szCs w:val="32"/>
              <w:highlight w:val="none"/>
            </w:rPr>
            <w:t xml:space="preserve">  投标人须知</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PAGEREF _Toc7933 \h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4</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fldChar w:fldCharType="end"/>
          </w:r>
        </w:p>
        <w:p w14:paraId="4C8D341A">
          <w:pPr>
            <w:keepNext w:val="0"/>
            <w:keepLines w:val="0"/>
            <w:pageBreakBefore w:val="0"/>
            <w:widowControl w:val="0"/>
            <w:tabs>
              <w:tab w:val="right" w:leader="dot" w:pos="8953"/>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_Toc10270 </w:instrText>
          </w:r>
          <w:r>
            <w:rPr>
              <w:rFonts w:hint="eastAsia" w:ascii="黑体" w:hAnsi="黑体" w:eastAsia="黑体" w:cs="黑体"/>
              <w:color w:val="auto"/>
              <w:sz w:val="32"/>
              <w:szCs w:val="32"/>
              <w:highlight w:val="none"/>
            </w:rPr>
            <w:fldChar w:fldCharType="separate"/>
          </w:r>
          <w:r>
            <w:rPr>
              <w:rFonts w:hint="eastAsia" w:ascii="黑体" w:hAnsi="黑体" w:eastAsia="黑体" w:cs="黑体"/>
              <w:bCs/>
              <w:color w:val="auto"/>
              <w:kern w:val="2"/>
              <w:sz w:val="32"/>
              <w:szCs w:val="32"/>
              <w:highlight w:val="none"/>
            </w:rPr>
            <w:t>第</w:t>
          </w:r>
          <w:r>
            <w:rPr>
              <w:rFonts w:hint="eastAsia" w:ascii="黑体" w:hAnsi="黑体" w:eastAsia="黑体" w:cs="黑体"/>
              <w:bCs/>
              <w:color w:val="auto"/>
              <w:kern w:val="2"/>
              <w:sz w:val="32"/>
              <w:szCs w:val="32"/>
              <w:highlight w:val="none"/>
              <w:lang w:val="en-US" w:eastAsia="zh-CN"/>
            </w:rPr>
            <w:t>三</w:t>
          </w:r>
          <w:r>
            <w:rPr>
              <w:rFonts w:hint="eastAsia" w:ascii="黑体" w:hAnsi="黑体" w:eastAsia="黑体" w:cs="黑体"/>
              <w:bCs/>
              <w:color w:val="auto"/>
              <w:kern w:val="2"/>
              <w:sz w:val="32"/>
              <w:szCs w:val="32"/>
              <w:highlight w:val="none"/>
            </w:rPr>
            <w:t>章</w:t>
          </w:r>
          <w:r>
            <w:rPr>
              <w:rFonts w:hint="eastAsia" w:ascii="黑体" w:hAnsi="黑体" w:eastAsia="黑体" w:cs="黑体"/>
              <w:color w:val="auto"/>
              <w:sz w:val="32"/>
              <w:szCs w:val="32"/>
              <w:highlight w:val="none"/>
            </w:rPr>
            <w:t xml:space="preserve">  资格审查及评标办法</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PAGEREF _Toc10270 \h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22</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fldChar w:fldCharType="end"/>
          </w:r>
        </w:p>
        <w:p w14:paraId="6CEF052F">
          <w:pPr>
            <w:keepNext w:val="0"/>
            <w:keepLines w:val="0"/>
            <w:pageBreakBefore w:val="0"/>
            <w:widowControl w:val="0"/>
            <w:tabs>
              <w:tab w:val="right" w:leader="dot" w:pos="8953"/>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_Toc25742 </w:instrText>
          </w:r>
          <w:r>
            <w:rPr>
              <w:rFonts w:hint="eastAsia" w:ascii="黑体" w:hAnsi="黑体" w:eastAsia="黑体" w:cs="黑体"/>
              <w:color w:val="auto"/>
              <w:sz w:val="32"/>
              <w:szCs w:val="32"/>
              <w:highlight w:val="none"/>
            </w:rPr>
            <w:fldChar w:fldCharType="separate"/>
          </w:r>
          <w:r>
            <w:rPr>
              <w:rFonts w:hint="eastAsia" w:ascii="黑体" w:hAnsi="黑体" w:eastAsia="黑体" w:cs="黑体"/>
              <w:bCs/>
              <w:color w:val="auto"/>
              <w:kern w:val="2"/>
              <w:sz w:val="32"/>
              <w:szCs w:val="32"/>
              <w:highlight w:val="none"/>
            </w:rPr>
            <w:t>第四章</w:t>
          </w:r>
          <w:r>
            <w:rPr>
              <w:rFonts w:hint="eastAsia" w:ascii="黑体" w:hAnsi="黑体" w:eastAsia="黑体" w:cs="黑体"/>
              <w:color w:val="auto"/>
              <w:sz w:val="32"/>
              <w:szCs w:val="32"/>
              <w:highlight w:val="none"/>
            </w:rPr>
            <w:t xml:space="preserve">  </w:t>
          </w:r>
          <w:r>
            <w:rPr>
              <w:rFonts w:hint="eastAsia" w:ascii="黑体" w:hAnsi="黑体" w:eastAsia="黑体" w:cs="黑体"/>
              <w:bCs/>
              <w:color w:val="auto"/>
              <w:kern w:val="2"/>
              <w:sz w:val="32"/>
              <w:szCs w:val="32"/>
              <w:highlight w:val="none"/>
            </w:rPr>
            <w:t>采购需求</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PAGEREF _Toc25742 \h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26</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fldChar w:fldCharType="end"/>
          </w:r>
        </w:p>
        <w:p w14:paraId="247E90DF">
          <w:pPr>
            <w:keepNext w:val="0"/>
            <w:keepLines w:val="0"/>
            <w:pageBreakBefore w:val="0"/>
            <w:widowControl w:val="0"/>
            <w:tabs>
              <w:tab w:val="right" w:leader="dot" w:pos="8953"/>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_Toc23929 </w:instrText>
          </w:r>
          <w:r>
            <w:rPr>
              <w:rFonts w:hint="eastAsia" w:ascii="黑体" w:hAnsi="黑体" w:eastAsia="黑体" w:cs="黑体"/>
              <w:color w:val="auto"/>
              <w:sz w:val="32"/>
              <w:szCs w:val="32"/>
              <w:highlight w:val="none"/>
            </w:rPr>
            <w:fldChar w:fldCharType="separate"/>
          </w:r>
          <w:r>
            <w:rPr>
              <w:rFonts w:hint="eastAsia" w:ascii="黑体" w:hAnsi="黑体" w:eastAsia="黑体" w:cs="黑体"/>
              <w:bCs/>
              <w:color w:val="auto"/>
              <w:kern w:val="2"/>
              <w:sz w:val="32"/>
              <w:szCs w:val="32"/>
              <w:highlight w:val="none"/>
            </w:rPr>
            <w:t>第</w:t>
          </w:r>
          <w:r>
            <w:rPr>
              <w:rFonts w:hint="eastAsia" w:ascii="黑体" w:hAnsi="黑体" w:eastAsia="黑体" w:cs="黑体"/>
              <w:bCs/>
              <w:color w:val="auto"/>
              <w:kern w:val="2"/>
              <w:sz w:val="32"/>
              <w:szCs w:val="32"/>
              <w:highlight w:val="none"/>
              <w:lang w:val="en-US" w:eastAsia="zh-CN"/>
            </w:rPr>
            <w:t>五</w:t>
          </w:r>
          <w:r>
            <w:rPr>
              <w:rFonts w:hint="eastAsia" w:ascii="黑体" w:hAnsi="黑体" w:eastAsia="黑体" w:cs="黑体"/>
              <w:bCs/>
              <w:color w:val="auto"/>
              <w:kern w:val="2"/>
              <w:sz w:val="32"/>
              <w:szCs w:val="32"/>
              <w:highlight w:val="none"/>
            </w:rPr>
            <w:t>章  合同文本</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PAGEREF _Toc23929 \h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31</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fldChar w:fldCharType="end"/>
          </w:r>
        </w:p>
        <w:p w14:paraId="408E3519">
          <w:pPr>
            <w:keepNext w:val="0"/>
            <w:keepLines w:val="0"/>
            <w:pageBreakBefore w:val="0"/>
            <w:widowControl w:val="0"/>
            <w:tabs>
              <w:tab w:val="right" w:leader="dot" w:pos="8953"/>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_Toc1783 </w:instrText>
          </w:r>
          <w:r>
            <w:rPr>
              <w:rFonts w:hint="eastAsia" w:ascii="黑体" w:hAnsi="黑体" w:eastAsia="黑体" w:cs="黑体"/>
              <w:color w:val="auto"/>
              <w:sz w:val="32"/>
              <w:szCs w:val="32"/>
              <w:highlight w:val="none"/>
            </w:rPr>
            <w:fldChar w:fldCharType="separate"/>
          </w:r>
          <w:r>
            <w:rPr>
              <w:rFonts w:hint="eastAsia" w:ascii="黑体" w:hAnsi="黑体" w:eastAsia="黑体" w:cs="黑体"/>
              <w:bCs/>
              <w:color w:val="auto"/>
              <w:sz w:val="32"/>
              <w:szCs w:val="32"/>
              <w:highlight w:val="none"/>
            </w:rPr>
            <w:t>第六章  投标文件格式</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PAGEREF _Toc1783 \h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38</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fldChar w:fldCharType="end"/>
          </w:r>
        </w:p>
        <w:p w14:paraId="57BB4F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highlight w:val="none"/>
            </w:rPr>
          </w:pPr>
          <w:r>
            <w:rPr>
              <w:rFonts w:hint="eastAsia" w:ascii="黑体" w:hAnsi="黑体" w:eastAsia="黑体" w:cs="黑体"/>
              <w:color w:val="auto"/>
              <w:sz w:val="32"/>
              <w:szCs w:val="32"/>
              <w:highlight w:val="none"/>
            </w:rPr>
            <w:fldChar w:fldCharType="end"/>
          </w:r>
        </w:p>
      </w:sdtContent>
    </w:sdt>
    <w:p w14:paraId="746C4329">
      <w:pPr>
        <w:rPr>
          <w:rFonts w:hint="eastAsia" w:ascii="仿宋" w:hAnsi="仿宋" w:eastAsia="仿宋" w:cs="仿宋"/>
          <w:color w:val="auto"/>
          <w:highlight w:val="none"/>
        </w:rPr>
      </w:pPr>
    </w:p>
    <w:p w14:paraId="086E34B3">
      <w:pPr>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44"/>
          <w:szCs w:val="44"/>
          <w:highlight w:val="none"/>
        </w:rPr>
        <w:sectPr>
          <w:footerReference r:id="rId5" w:type="first"/>
          <w:footerReference r:id="rId4" w:type="default"/>
          <w:pgSz w:w="11906" w:h="16838"/>
          <w:pgMar w:top="1418" w:right="1588" w:bottom="1418" w:left="1365" w:header="851" w:footer="907" w:gutter="0"/>
          <w:pgBorders>
            <w:top w:val="none" w:sz="0" w:space="0"/>
            <w:left w:val="none" w:sz="0" w:space="0"/>
            <w:bottom w:val="none" w:sz="0" w:space="0"/>
            <w:right w:val="none" w:sz="0" w:space="0"/>
          </w:pgBorders>
          <w:pgNumType w:fmt="decimal" w:start="1"/>
          <w:cols w:space="1701" w:num="1"/>
          <w:titlePg/>
          <w:docGrid w:linePitch="360" w:charSpace="0"/>
        </w:sectPr>
      </w:pPr>
    </w:p>
    <w:p w14:paraId="4CFDC431">
      <w:pPr>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rPr>
      </w:pPr>
      <w:bookmarkStart w:id="0" w:name="_Toc29317"/>
      <w:r>
        <w:rPr>
          <w:rFonts w:hint="eastAsia" w:ascii="仿宋" w:hAnsi="仿宋" w:eastAsia="仿宋" w:cs="仿宋"/>
          <w:b/>
          <w:bCs/>
          <w:color w:val="auto"/>
          <w:sz w:val="44"/>
          <w:szCs w:val="44"/>
          <w:highlight w:val="none"/>
        </w:rPr>
        <w:t>第一章  投标邀请</w:t>
      </w:r>
      <w:bookmarkEnd w:id="0"/>
    </w:p>
    <w:p w14:paraId="0360D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u w:val="single"/>
          <w:lang w:eastAsia="zh-CN"/>
        </w:rPr>
        <w:t>宿迁市自然资源和规划局</w:t>
      </w:r>
      <w:r>
        <w:rPr>
          <w:rFonts w:hint="eastAsia" w:ascii="仿宋" w:hAnsi="仿宋" w:eastAsia="仿宋" w:cs="仿宋"/>
          <w:color w:val="auto"/>
          <w:sz w:val="24"/>
          <w:szCs w:val="24"/>
          <w:highlight w:val="none"/>
        </w:rPr>
        <w:t>的委托，</w:t>
      </w:r>
      <w:r>
        <w:rPr>
          <w:rFonts w:hint="eastAsia" w:ascii="仿宋" w:hAnsi="仿宋" w:eastAsia="仿宋" w:cs="仿宋"/>
          <w:color w:val="auto"/>
          <w:sz w:val="24"/>
          <w:szCs w:val="24"/>
          <w:highlight w:val="none"/>
          <w:u w:val="single"/>
          <w:lang w:eastAsia="zh-CN"/>
        </w:rPr>
        <w:t>江苏宏壮工程项目管理有限公司</w:t>
      </w:r>
      <w:r>
        <w:rPr>
          <w:rFonts w:hint="eastAsia" w:ascii="仿宋" w:hAnsi="仿宋" w:eastAsia="仿宋" w:cs="仿宋"/>
          <w:color w:val="auto"/>
          <w:sz w:val="24"/>
          <w:szCs w:val="24"/>
          <w:highlight w:val="none"/>
        </w:rPr>
        <w:t>就</w:t>
      </w:r>
      <w:r>
        <w:rPr>
          <w:rFonts w:hint="eastAsia" w:ascii="仿宋" w:hAnsi="仿宋" w:eastAsia="仿宋" w:cs="仿宋"/>
          <w:color w:val="auto"/>
          <w:sz w:val="24"/>
          <w:szCs w:val="24"/>
          <w:highlight w:val="none"/>
          <w:u w:val="single"/>
          <w:lang w:eastAsia="zh-CN"/>
        </w:rPr>
        <w:t>宿迁市申报国际湿地城市认证技术</w:t>
      </w:r>
      <w:r>
        <w:rPr>
          <w:rFonts w:hint="eastAsia" w:ascii="仿宋" w:hAnsi="仿宋" w:eastAsia="仿宋" w:cs="仿宋"/>
          <w:color w:val="auto"/>
          <w:sz w:val="24"/>
          <w:szCs w:val="24"/>
          <w:highlight w:val="none"/>
          <w:u w:val="single"/>
          <w:lang w:eastAsia="zh-CN"/>
        </w:rPr>
        <w:t>服务项目</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eastAsia="zh-CN"/>
        </w:rPr>
        <w:t>系统生成）</w:t>
      </w:r>
      <w:r>
        <w:rPr>
          <w:rFonts w:hint="eastAsia" w:ascii="仿宋" w:hAnsi="仿宋" w:eastAsia="仿宋" w:cs="仿宋"/>
          <w:color w:val="auto"/>
          <w:sz w:val="24"/>
          <w:szCs w:val="24"/>
          <w:highlight w:val="none"/>
        </w:rPr>
        <w:t>进行公开招标采购，欢迎符合条件的投标人投标。</w:t>
      </w:r>
    </w:p>
    <w:p w14:paraId="1B04DAA9">
      <w:pPr>
        <w:keepNext w:val="0"/>
        <w:keepLines w:val="0"/>
        <w:pageBreakBefore w:val="0"/>
        <w:widowControl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148C3289">
      <w:pPr>
        <w:keepNext w:val="0"/>
        <w:keepLines w:val="0"/>
        <w:pageBreakBefore w:val="0"/>
        <w:widowControl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宿迁市申报国际湿地城市认证技术服务项目</w:t>
      </w:r>
      <w:r>
        <w:rPr>
          <w:rFonts w:hint="eastAsia" w:ascii="仿宋" w:hAnsi="仿宋" w:eastAsia="仿宋" w:cs="仿宋"/>
          <w:color w:val="auto"/>
          <w:sz w:val="24"/>
          <w:szCs w:val="24"/>
          <w:highlight w:val="none"/>
        </w:rPr>
        <w:t>招标项目的潜在投标人可在“江苏政府采购网”、</w:t>
      </w:r>
      <w:r>
        <w:rPr>
          <w:rFonts w:hint="eastAsia" w:ascii="仿宋" w:hAnsi="仿宋" w:eastAsia="仿宋" w:cs="仿宋"/>
          <w:color w:val="auto"/>
          <w:sz w:val="24"/>
          <w:szCs w:val="24"/>
          <w:highlight w:val="none"/>
          <w:u w:val="single"/>
        </w:rPr>
        <w:t>“宿迁市政府采购网”自行免费</w:t>
      </w:r>
      <w:r>
        <w:rPr>
          <w:rFonts w:hint="eastAsia" w:ascii="仿宋" w:hAnsi="仿宋" w:eastAsia="仿宋" w:cs="仿宋"/>
          <w:color w:val="auto"/>
          <w:sz w:val="24"/>
          <w:szCs w:val="24"/>
          <w:highlight w:val="none"/>
          <w:u w:val="none"/>
          <w:lang w:val="en-US" w:eastAsia="zh-CN"/>
        </w:rPr>
        <w:t>获取</w:t>
      </w:r>
      <w:r>
        <w:rPr>
          <w:rFonts w:hint="eastAsia" w:ascii="仿宋" w:hAnsi="仿宋" w:eastAsia="仿宋" w:cs="仿宋"/>
          <w:color w:val="auto"/>
          <w:sz w:val="24"/>
          <w:szCs w:val="24"/>
          <w:highlight w:val="none"/>
        </w:rPr>
        <w:t>招标文件，并于</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xx</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xx</w:t>
      </w:r>
      <w:r>
        <w:rPr>
          <w:rFonts w:hint="eastAsia" w:ascii="仿宋" w:hAnsi="仿宋" w:eastAsia="仿宋" w:cs="仿宋"/>
          <w:bCs/>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9</w:t>
      </w:r>
      <w:r>
        <w:rPr>
          <w:rFonts w:hint="eastAsia" w:ascii="仿宋" w:hAnsi="仿宋" w:eastAsia="仿宋" w:cs="仿宋"/>
          <w:bCs/>
          <w:color w:val="auto"/>
          <w:sz w:val="24"/>
          <w:szCs w:val="24"/>
          <w:highlight w:val="none"/>
          <w:u w:val="single"/>
        </w:rPr>
        <w:t>点</w:t>
      </w:r>
      <w:r>
        <w:rPr>
          <w:rFonts w:hint="eastAsia" w:ascii="仿宋" w:hAnsi="仿宋" w:eastAsia="仿宋" w:cs="仿宋"/>
          <w:bCs/>
          <w:color w:val="auto"/>
          <w:sz w:val="24"/>
          <w:szCs w:val="24"/>
          <w:highlight w:val="none"/>
          <w:u w:val="single"/>
          <w:lang w:val="en-US" w:eastAsia="zh-CN"/>
        </w:rPr>
        <w:t>30</w:t>
      </w:r>
      <w:r>
        <w:rPr>
          <w:rFonts w:hint="eastAsia" w:ascii="仿宋" w:hAnsi="仿宋" w:eastAsia="仿宋" w:cs="仿宋"/>
          <w:bCs/>
          <w:color w:val="auto"/>
          <w:sz w:val="24"/>
          <w:szCs w:val="24"/>
          <w:highlight w:val="none"/>
          <w:u w:val="single"/>
        </w:rPr>
        <w:t>分（</w:t>
      </w:r>
      <w:r>
        <w:rPr>
          <w:rFonts w:hint="eastAsia" w:ascii="仿宋" w:hAnsi="仿宋" w:eastAsia="仿宋" w:cs="仿宋"/>
          <w:bCs/>
          <w:color w:val="auto"/>
          <w:sz w:val="24"/>
          <w:szCs w:val="24"/>
          <w:highlight w:val="none"/>
        </w:rPr>
        <w:t>北京时间）前递交投标文件</w:t>
      </w:r>
      <w:r>
        <w:rPr>
          <w:rFonts w:hint="eastAsia" w:ascii="仿宋" w:hAnsi="仿宋" w:eastAsia="仿宋" w:cs="仿宋"/>
          <w:color w:val="auto"/>
          <w:sz w:val="24"/>
          <w:szCs w:val="24"/>
          <w:highlight w:val="none"/>
        </w:rPr>
        <w:t>。</w:t>
      </w:r>
    </w:p>
    <w:p w14:paraId="7E52AB91">
      <w:pPr>
        <w:spacing w:before="0" w:after="0" w:line="560" w:lineRule="exact"/>
        <w:ind w:firstLine="498"/>
        <w:rPr>
          <w:rFonts w:hint="eastAsia" w:ascii="仿宋" w:hAnsi="仿宋" w:eastAsia="仿宋" w:cs="仿宋"/>
          <w:b/>
          <w:bCs/>
          <w:color w:val="auto"/>
          <w:sz w:val="28"/>
          <w:szCs w:val="28"/>
          <w:highlight w:val="none"/>
        </w:rPr>
      </w:pPr>
      <w:bookmarkStart w:id="1" w:name="_Toc38985263"/>
      <w:bookmarkStart w:id="2" w:name="_Toc35393790"/>
      <w:bookmarkStart w:id="3" w:name="_Toc35393621"/>
      <w:bookmarkStart w:id="4" w:name="_Toc28359002"/>
      <w:bookmarkStart w:id="5" w:name="_Toc28359079"/>
      <w:bookmarkStart w:id="6" w:name="_Hlk24379207"/>
      <w:r>
        <w:rPr>
          <w:rFonts w:hint="eastAsia" w:ascii="仿宋" w:hAnsi="仿宋" w:eastAsia="仿宋" w:cs="仿宋"/>
          <w:b/>
          <w:bCs/>
          <w:color w:val="auto"/>
          <w:sz w:val="28"/>
          <w:szCs w:val="28"/>
          <w:highlight w:val="none"/>
        </w:rPr>
        <w:t>一、项目基本情况</w:t>
      </w:r>
      <w:bookmarkEnd w:id="1"/>
      <w:bookmarkEnd w:id="2"/>
      <w:bookmarkEnd w:id="3"/>
      <w:bookmarkEnd w:id="4"/>
      <w:bookmarkEnd w:id="5"/>
    </w:p>
    <w:p w14:paraId="11AF35E4">
      <w:pPr>
        <w:spacing w:line="560" w:lineRule="exact"/>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1.项目编号：</w:t>
      </w:r>
      <w:r>
        <w:rPr>
          <w:rFonts w:hint="eastAsia" w:ascii="仿宋" w:hAnsi="仿宋" w:eastAsia="仿宋" w:cs="仿宋"/>
          <w:color w:val="auto"/>
          <w:sz w:val="24"/>
          <w:szCs w:val="24"/>
          <w:highlight w:val="none"/>
          <w:lang w:eastAsia="zh-CN"/>
        </w:rPr>
        <w:t>系统生成</w:t>
      </w:r>
    </w:p>
    <w:p w14:paraId="7FE44502">
      <w:pPr>
        <w:spacing w:line="560" w:lineRule="exact"/>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2.项目名称：</w:t>
      </w:r>
      <w:bookmarkEnd w:id="6"/>
      <w:r>
        <w:rPr>
          <w:rFonts w:hint="eastAsia" w:ascii="仿宋" w:hAnsi="仿宋" w:eastAsia="仿宋" w:cs="仿宋"/>
          <w:color w:val="auto"/>
          <w:sz w:val="24"/>
          <w:szCs w:val="24"/>
          <w:highlight w:val="none"/>
          <w:lang w:eastAsia="zh-CN"/>
        </w:rPr>
        <w:t>宿迁市申报国际湿地城市认证技术服务项目</w:t>
      </w:r>
    </w:p>
    <w:p w14:paraId="73E88F3D">
      <w:pPr>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3.预算金额：</w:t>
      </w:r>
      <w:r>
        <w:rPr>
          <w:rFonts w:hint="eastAsia" w:ascii="仿宋" w:hAnsi="仿宋" w:eastAsia="仿宋" w:cs="仿宋"/>
          <w:color w:val="auto"/>
          <w:sz w:val="24"/>
          <w:szCs w:val="24"/>
          <w:highlight w:val="none"/>
          <w:lang w:val="en-US" w:eastAsia="zh-CN"/>
        </w:rPr>
        <w:t>850万元</w:t>
      </w:r>
    </w:p>
    <w:p w14:paraId="283A336D">
      <w:pPr>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w:t>
      </w:r>
      <w:r>
        <w:rPr>
          <w:rFonts w:hint="eastAsia" w:ascii="仿宋" w:hAnsi="仿宋" w:eastAsia="仿宋" w:cs="仿宋"/>
          <w:color w:val="auto"/>
          <w:sz w:val="24"/>
          <w:szCs w:val="24"/>
          <w:highlight w:val="none"/>
          <w:u w:val="single"/>
        </w:rPr>
        <w:t>设定</w:t>
      </w:r>
      <w:r>
        <w:rPr>
          <w:rFonts w:hint="eastAsia" w:ascii="仿宋" w:hAnsi="仿宋" w:eastAsia="仿宋" w:cs="仿宋"/>
          <w:color w:val="auto"/>
          <w:sz w:val="24"/>
          <w:szCs w:val="24"/>
          <w:highlight w:val="none"/>
          <w:u w:val="none"/>
        </w:rPr>
        <w:t>最</w:t>
      </w:r>
      <w:r>
        <w:rPr>
          <w:rFonts w:hint="eastAsia" w:ascii="仿宋" w:hAnsi="仿宋" w:eastAsia="仿宋" w:cs="仿宋"/>
          <w:color w:val="auto"/>
          <w:sz w:val="24"/>
          <w:szCs w:val="24"/>
          <w:highlight w:val="none"/>
        </w:rPr>
        <w:t>高限价，最高限价为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lang w:val="en-US" w:eastAsia="zh-CN"/>
        </w:rPr>
        <w:t>845万元</w:t>
      </w:r>
    </w:p>
    <w:p w14:paraId="2CF85946">
      <w:pPr>
        <w:spacing w:line="56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5.采购需求（简介）：</w:t>
      </w:r>
      <w:r>
        <w:rPr>
          <w:rFonts w:hint="eastAsia" w:ascii="仿宋" w:hAnsi="仿宋" w:eastAsia="仿宋" w:cs="仿宋"/>
          <w:color w:val="auto"/>
          <w:sz w:val="24"/>
          <w:szCs w:val="24"/>
          <w:highlight w:val="none"/>
          <w:lang w:val="en-US" w:eastAsia="zh-CN"/>
        </w:rPr>
        <w:t>宿迁市申报国际湿地城市认证技术服务项目，具体详见采购需求。</w:t>
      </w:r>
    </w:p>
    <w:p w14:paraId="59875383">
      <w:pPr>
        <w:spacing w:line="560" w:lineRule="exact"/>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6.合同履行期限：</w:t>
      </w:r>
      <w:r>
        <w:rPr>
          <w:rFonts w:hint="eastAsia" w:ascii="仿宋" w:hAnsi="仿宋" w:eastAsia="仿宋" w:cs="仿宋"/>
          <w:color w:val="auto"/>
          <w:sz w:val="24"/>
          <w:szCs w:val="24"/>
          <w:highlight w:val="none"/>
          <w:lang w:eastAsia="zh-CN"/>
        </w:rPr>
        <w:t>自合同签订之日起至2028年8月31日完成（具体以《国际湿地公约》第十六届缔约方大会结束时间为准）。</w:t>
      </w:r>
    </w:p>
    <w:p w14:paraId="0C622369">
      <w:pPr>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w:t>
      </w:r>
      <w:r>
        <w:rPr>
          <w:rFonts w:hint="eastAsia" w:ascii="仿宋" w:hAnsi="仿宋" w:eastAsia="仿宋" w:cs="仿宋"/>
          <w:color w:val="auto"/>
          <w:sz w:val="24"/>
          <w:szCs w:val="24"/>
          <w:highlight w:val="none"/>
          <w:u w:val="single"/>
        </w:rPr>
        <w:t>不接受</w:t>
      </w:r>
      <w:r>
        <w:rPr>
          <w:rFonts w:hint="eastAsia" w:ascii="仿宋" w:hAnsi="仿宋" w:eastAsia="仿宋" w:cs="仿宋"/>
          <w:color w:val="auto"/>
          <w:sz w:val="24"/>
          <w:szCs w:val="24"/>
          <w:highlight w:val="none"/>
        </w:rPr>
        <w:t>联合体投标。</w:t>
      </w:r>
    </w:p>
    <w:p w14:paraId="4C934D56">
      <w:pPr>
        <w:spacing w:before="0" w:after="0" w:line="560" w:lineRule="exact"/>
        <w:ind w:firstLine="498"/>
        <w:rPr>
          <w:rFonts w:hint="eastAsia" w:ascii="仿宋" w:hAnsi="仿宋" w:eastAsia="仿宋" w:cs="仿宋"/>
          <w:b/>
          <w:bCs/>
          <w:color w:val="auto"/>
          <w:sz w:val="28"/>
          <w:szCs w:val="28"/>
          <w:highlight w:val="none"/>
        </w:rPr>
      </w:pPr>
      <w:bookmarkStart w:id="7" w:name="_Toc35393622"/>
      <w:bookmarkStart w:id="8" w:name="_Toc28359003"/>
      <w:bookmarkStart w:id="9" w:name="_Toc38985264"/>
      <w:bookmarkStart w:id="10" w:name="_Toc35393791"/>
      <w:bookmarkStart w:id="11" w:name="_Toc28359080"/>
      <w:r>
        <w:rPr>
          <w:rFonts w:hint="eastAsia" w:ascii="仿宋" w:hAnsi="仿宋" w:eastAsia="仿宋" w:cs="仿宋"/>
          <w:b/>
          <w:bCs/>
          <w:color w:val="auto"/>
          <w:sz w:val="28"/>
          <w:szCs w:val="28"/>
          <w:highlight w:val="none"/>
        </w:rPr>
        <w:t>二、申请人的资格要求</w:t>
      </w:r>
      <w:bookmarkEnd w:id="7"/>
      <w:bookmarkEnd w:id="8"/>
      <w:bookmarkEnd w:id="9"/>
      <w:bookmarkEnd w:id="10"/>
      <w:bookmarkEnd w:id="11"/>
    </w:p>
    <w:p w14:paraId="2FB54F95">
      <w:pPr>
        <w:spacing w:line="560" w:lineRule="exact"/>
        <w:ind w:firstLine="480"/>
        <w:rPr>
          <w:rFonts w:hint="eastAsia" w:ascii="仿宋" w:hAnsi="仿宋" w:eastAsia="仿宋" w:cs="仿宋"/>
          <w:color w:val="auto"/>
          <w:sz w:val="24"/>
          <w:szCs w:val="24"/>
          <w:highlight w:val="none"/>
        </w:rPr>
      </w:pPr>
      <w:bookmarkStart w:id="12" w:name="_Toc35393623"/>
      <w:bookmarkStart w:id="13" w:name="_Toc35393792"/>
      <w:bookmarkStart w:id="14" w:name="_Toc28359004"/>
      <w:bookmarkStart w:id="15" w:name="_Toc28359081"/>
      <w:bookmarkStart w:id="16" w:name="_Toc38985265"/>
      <w:r>
        <w:rPr>
          <w:rFonts w:hint="eastAsia" w:ascii="仿宋" w:hAnsi="仿宋" w:eastAsia="仿宋" w:cs="仿宋"/>
          <w:color w:val="auto"/>
          <w:sz w:val="24"/>
          <w:szCs w:val="24"/>
          <w:highlight w:val="none"/>
        </w:rPr>
        <w:t>（一）通用资格要求</w:t>
      </w:r>
    </w:p>
    <w:p w14:paraId="43639AE9">
      <w:pPr>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1.具备《中华人民共和国政府采购法》第二十二条第一款规定的6项条件（按要求提供投标函）。</w:t>
      </w:r>
    </w:p>
    <w:p w14:paraId="3BA5620D">
      <w:pPr>
        <w:spacing w:line="480" w:lineRule="exact"/>
        <w:ind w:firstLine="480"/>
        <w:rPr>
          <w:rFonts w:hint="eastAsia" w:ascii="仿宋" w:hAnsi="仿宋" w:eastAsia="仿宋" w:cs="仿宋"/>
          <w:color w:val="auto"/>
          <w:sz w:val="36"/>
          <w:szCs w:val="36"/>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14:paraId="542AD512">
      <w:pPr>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3.落实政府采购政策需满足的资格要求：</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highlight w:val="none"/>
        </w:rPr>
        <w:t>。</w:t>
      </w:r>
    </w:p>
    <w:p w14:paraId="6C6FA79D">
      <w:pPr>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（二）本项目的特定资格要求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eastAsia="zh-CN"/>
        </w:rPr>
        <w:t>投标人具有林业调查规划设计甲（</w:t>
      </w: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lang w:eastAsia="zh-CN"/>
        </w:rPr>
        <w:t>）级</w:t>
      </w:r>
      <w:r>
        <w:rPr>
          <w:rFonts w:hint="eastAsia" w:ascii="仿宋" w:hAnsi="仿宋" w:eastAsia="仿宋" w:cs="仿宋"/>
          <w:color w:val="auto"/>
          <w:sz w:val="24"/>
          <w:szCs w:val="24"/>
          <w:highlight w:val="none"/>
          <w:lang w:val="en-US" w:eastAsia="zh-CN"/>
        </w:rPr>
        <w:t>及以上</w:t>
      </w:r>
      <w:r>
        <w:rPr>
          <w:rFonts w:hint="eastAsia" w:ascii="仿宋" w:hAnsi="仿宋" w:eastAsia="仿宋" w:cs="仿宋"/>
          <w:color w:val="auto"/>
          <w:sz w:val="24"/>
          <w:szCs w:val="24"/>
          <w:highlight w:val="none"/>
          <w:lang w:eastAsia="zh-CN"/>
        </w:rPr>
        <w:t>资质。</w:t>
      </w:r>
    </w:p>
    <w:p w14:paraId="56959046">
      <w:pPr>
        <w:spacing w:before="0" w:after="0" w:line="560" w:lineRule="exact"/>
        <w:ind w:firstLine="498"/>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三、获取招标文件</w:t>
      </w:r>
      <w:bookmarkEnd w:id="12"/>
      <w:bookmarkEnd w:id="13"/>
      <w:bookmarkEnd w:id="14"/>
      <w:bookmarkEnd w:id="15"/>
      <w:bookmarkEnd w:id="16"/>
    </w:p>
    <w:p w14:paraId="17218176">
      <w:pPr>
        <w:spacing w:line="560" w:lineRule="exact"/>
        <w:ind w:firstLine="480"/>
        <w:rPr>
          <w:rFonts w:hint="eastAsia" w:ascii="仿宋" w:hAnsi="仿宋" w:eastAsia="仿宋" w:cs="仿宋"/>
          <w:color w:val="auto"/>
          <w:sz w:val="24"/>
          <w:szCs w:val="24"/>
          <w:highlight w:val="none"/>
        </w:rPr>
      </w:pPr>
      <w:bookmarkStart w:id="17" w:name="_Toc28359005"/>
      <w:bookmarkStart w:id="18" w:name="_Toc28359082"/>
      <w:bookmarkStart w:id="19" w:name="_Toc35393624"/>
      <w:bookmarkStart w:id="20" w:name="_Toc35393793"/>
      <w:bookmarkStart w:id="21" w:name="_Toc38985266"/>
      <w:r>
        <w:rPr>
          <w:rFonts w:hint="eastAsia" w:ascii="仿宋" w:hAnsi="仿宋" w:eastAsia="仿宋" w:cs="仿宋"/>
          <w:color w:val="auto"/>
          <w:sz w:val="24"/>
          <w:szCs w:val="24"/>
          <w:highlight w:val="none"/>
        </w:rPr>
        <w:t>1.时间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招标文件公告发布之日起5个工作日。</w:t>
      </w:r>
    </w:p>
    <w:p w14:paraId="7F8466AF">
      <w:pPr>
        <w:spacing w:line="48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2.方式：</w:t>
      </w:r>
      <w:bookmarkStart w:id="22" w:name="EB0c44ff4da61f4af989d119fe214be450"/>
      <w:r>
        <w:rPr>
          <w:rFonts w:hint="eastAsia" w:ascii="仿宋" w:hAnsi="仿宋" w:eastAsia="仿宋" w:cs="仿宋"/>
          <w:color w:val="auto"/>
          <w:sz w:val="24"/>
          <w:szCs w:val="24"/>
          <w:highlight w:val="none"/>
        </w:rPr>
        <w:t>投标人应在招标文件提供的时间内，通过“苏采云”系统（网址： http://jszfcg.jsczt.cn/），使用CA锁登录系统后，找到本项目获取招标文件（后缀名为“.kedt”）。</w:t>
      </w:r>
    </w:p>
    <w:p w14:paraId="626B431C">
      <w:pPr>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3.本项目共分一个采购包。投标人未按要求获取招标文件导致无法投标的，后果自负（其投标文件不予接受）。</w:t>
      </w:r>
      <w:bookmarkEnd w:id="22"/>
    </w:p>
    <w:p w14:paraId="06519930">
      <w:pPr>
        <w:spacing w:before="0" w:after="0" w:line="560" w:lineRule="exact"/>
        <w:ind w:firstLine="498"/>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四、提交投标文件</w:t>
      </w:r>
      <w:bookmarkEnd w:id="17"/>
      <w:bookmarkEnd w:id="18"/>
      <w:r>
        <w:rPr>
          <w:rFonts w:hint="eastAsia" w:ascii="仿宋" w:hAnsi="仿宋" w:eastAsia="仿宋" w:cs="仿宋"/>
          <w:b/>
          <w:bCs/>
          <w:color w:val="auto"/>
          <w:sz w:val="28"/>
          <w:szCs w:val="28"/>
          <w:highlight w:val="none"/>
        </w:rPr>
        <w:t>截止时间、开标时间和地点</w:t>
      </w:r>
      <w:bookmarkEnd w:id="19"/>
      <w:bookmarkEnd w:id="20"/>
      <w:bookmarkEnd w:id="21"/>
    </w:p>
    <w:p w14:paraId="57BD22AE">
      <w:pPr>
        <w:spacing w:line="560" w:lineRule="exact"/>
        <w:ind w:firstLine="48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1.</w:t>
      </w:r>
      <w:r>
        <w:rPr>
          <w:rFonts w:hint="eastAsia" w:ascii="仿宋" w:hAnsi="仿宋" w:eastAsia="仿宋" w:cs="仿宋"/>
          <w:color w:val="auto"/>
          <w:sz w:val="24"/>
          <w:szCs w:val="24"/>
          <w:highlight w:val="none"/>
        </w:rPr>
        <w:t>提交投标文件截止时间、开标时间：</w:t>
      </w:r>
      <w:r>
        <w:rPr>
          <w:rFonts w:hint="eastAsia" w:ascii="仿宋" w:hAnsi="仿宋" w:eastAsia="仿宋" w:cs="仿宋"/>
          <w:bCs/>
          <w:color w:val="auto"/>
          <w:sz w:val="24"/>
          <w:szCs w:val="24"/>
          <w:highlight w:val="none"/>
          <w:u w:val="single"/>
        </w:rPr>
        <w:t>202</w:t>
      </w:r>
      <w:r>
        <w:rPr>
          <w:rFonts w:hint="eastAsia" w:ascii="仿宋" w:hAnsi="仿宋" w:eastAsia="仿宋" w:cs="仿宋"/>
          <w:bCs/>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xx</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xx</w:t>
      </w:r>
      <w:r>
        <w:rPr>
          <w:rFonts w:hint="eastAsia" w:ascii="仿宋" w:hAnsi="仿宋" w:eastAsia="仿宋" w:cs="仿宋"/>
          <w:bCs/>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9</w:t>
      </w:r>
      <w:r>
        <w:rPr>
          <w:rFonts w:hint="eastAsia" w:ascii="仿宋" w:hAnsi="仿宋" w:eastAsia="仿宋" w:cs="仿宋"/>
          <w:bCs/>
          <w:color w:val="auto"/>
          <w:sz w:val="24"/>
          <w:szCs w:val="24"/>
          <w:highlight w:val="none"/>
          <w:u w:val="single"/>
        </w:rPr>
        <w:t>点</w:t>
      </w:r>
      <w:r>
        <w:rPr>
          <w:rFonts w:hint="eastAsia" w:ascii="仿宋" w:hAnsi="仿宋" w:eastAsia="仿宋" w:cs="仿宋"/>
          <w:bCs/>
          <w:color w:val="auto"/>
          <w:sz w:val="24"/>
          <w:szCs w:val="24"/>
          <w:highlight w:val="none"/>
          <w:u w:val="single"/>
          <w:lang w:val="en-US" w:eastAsia="zh-CN"/>
        </w:rPr>
        <w:t>30</w:t>
      </w:r>
      <w:r>
        <w:rPr>
          <w:rFonts w:hint="eastAsia" w:ascii="仿宋" w:hAnsi="仿宋" w:eastAsia="仿宋" w:cs="仿宋"/>
          <w:bCs/>
          <w:color w:val="auto"/>
          <w:sz w:val="24"/>
          <w:szCs w:val="24"/>
          <w:highlight w:val="none"/>
          <w:u w:val="single"/>
        </w:rPr>
        <w:t>分</w:t>
      </w:r>
      <w:r>
        <w:rPr>
          <w:rFonts w:hint="eastAsia" w:ascii="仿宋" w:hAnsi="仿宋" w:eastAsia="仿宋" w:cs="仿宋"/>
          <w:bCs/>
          <w:color w:val="auto"/>
          <w:sz w:val="24"/>
          <w:szCs w:val="24"/>
          <w:highlight w:val="none"/>
        </w:rPr>
        <w:t>（北京时间）</w:t>
      </w:r>
    </w:p>
    <w:p w14:paraId="307BEFE3">
      <w:pPr>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2.地点：“苏采云”政府采购交易系统网上开标大厅。</w:t>
      </w:r>
    </w:p>
    <w:p w14:paraId="0F27F84C">
      <w:pPr>
        <w:spacing w:before="0" w:after="0" w:line="560" w:lineRule="exact"/>
        <w:ind w:firstLine="498"/>
        <w:rPr>
          <w:rFonts w:hint="eastAsia" w:ascii="仿宋" w:hAnsi="仿宋" w:eastAsia="仿宋" w:cs="仿宋"/>
          <w:b/>
          <w:bCs/>
          <w:color w:val="auto"/>
          <w:sz w:val="28"/>
          <w:szCs w:val="28"/>
          <w:highlight w:val="none"/>
        </w:rPr>
      </w:pPr>
      <w:bookmarkStart w:id="23" w:name="_Toc35393625"/>
      <w:bookmarkStart w:id="24" w:name="_Toc28359084"/>
      <w:bookmarkStart w:id="25" w:name="_Toc28359007"/>
      <w:bookmarkStart w:id="26" w:name="_Toc38985267"/>
      <w:bookmarkStart w:id="27" w:name="_Toc35393794"/>
      <w:r>
        <w:rPr>
          <w:rFonts w:hint="eastAsia" w:ascii="仿宋" w:hAnsi="仿宋" w:eastAsia="仿宋" w:cs="仿宋"/>
          <w:b/>
          <w:bCs/>
          <w:color w:val="auto"/>
          <w:sz w:val="28"/>
          <w:szCs w:val="28"/>
          <w:highlight w:val="none"/>
        </w:rPr>
        <w:t>五、公告期限</w:t>
      </w:r>
      <w:bookmarkEnd w:id="23"/>
      <w:bookmarkEnd w:id="24"/>
      <w:bookmarkEnd w:id="25"/>
      <w:bookmarkEnd w:id="26"/>
      <w:bookmarkEnd w:id="27"/>
    </w:p>
    <w:p w14:paraId="349C3BFC">
      <w:pPr>
        <w:spacing w:line="560" w:lineRule="exact"/>
        <w:ind w:firstLine="480"/>
        <w:rPr>
          <w:rFonts w:hint="eastAsia" w:ascii="仿宋" w:hAnsi="仿宋" w:eastAsia="仿宋" w:cs="仿宋"/>
          <w:color w:val="auto"/>
          <w:sz w:val="24"/>
          <w:szCs w:val="24"/>
          <w:highlight w:val="none"/>
        </w:rPr>
      </w:pPr>
      <w:bookmarkStart w:id="28" w:name="_Toc35393795"/>
      <w:bookmarkStart w:id="29" w:name="_Toc35393626"/>
      <w:bookmarkStart w:id="30" w:name="_Toc38985268"/>
      <w:r>
        <w:rPr>
          <w:rFonts w:hint="eastAsia" w:ascii="仿宋" w:hAnsi="仿宋" w:eastAsia="仿宋" w:cs="仿宋"/>
          <w:color w:val="auto"/>
          <w:sz w:val="24"/>
          <w:szCs w:val="24"/>
          <w:highlight w:val="none"/>
        </w:rPr>
        <w:t>招标公告及招标文件公告期限为自本公告发布之日起5个工作日。</w:t>
      </w:r>
    </w:p>
    <w:p w14:paraId="5473E364">
      <w:pPr>
        <w:spacing w:before="0" w:after="0" w:line="560" w:lineRule="exact"/>
        <w:ind w:firstLine="498"/>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六、其他补充事宜</w:t>
      </w:r>
      <w:bookmarkEnd w:id="28"/>
      <w:bookmarkEnd w:id="29"/>
      <w:bookmarkEnd w:id="30"/>
    </w:p>
    <w:p w14:paraId="2E450C58">
      <w:pPr>
        <w:spacing w:line="480" w:lineRule="exact"/>
        <w:ind w:firstLine="480"/>
        <w:rPr>
          <w:rFonts w:hint="eastAsia" w:ascii="仿宋" w:hAnsi="仿宋" w:eastAsia="仿宋" w:cs="仿宋"/>
          <w:color w:val="auto"/>
          <w:sz w:val="24"/>
          <w:szCs w:val="24"/>
          <w:highlight w:val="none"/>
        </w:rPr>
      </w:pPr>
      <w:bookmarkStart w:id="31" w:name="_Toc28359008"/>
      <w:bookmarkStart w:id="32" w:name="_Toc35393627"/>
      <w:bookmarkStart w:id="33" w:name="_Toc38985269"/>
      <w:bookmarkStart w:id="34" w:name="_Toc28359085"/>
      <w:bookmarkStart w:id="35" w:name="_Toc35393796"/>
      <w:r>
        <w:rPr>
          <w:rFonts w:hint="eastAsia" w:ascii="仿宋" w:hAnsi="仿宋" w:eastAsia="仿宋" w:cs="仿宋"/>
          <w:color w:val="auto"/>
          <w:sz w:val="24"/>
          <w:szCs w:val="24"/>
          <w:highlight w:val="none"/>
        </w:rPr>
        <w:t>1.招标公告发布媒体：</w:t>
      </w:r>
      <w:bookmarkStart w:id="36" w:name="OLE_LINK3"/>
      <w:r>
        <w:rPr>
          <w:rFonts w:hint="eastAsia" w:ascii="仿宋" w:hAnsi="仿宋" w:eastAsia="仿宋" w:cs="仿宋"/>
          <w:color w:val="auto"/>
          <w:sz w:val="24"/>
          <w:szCs w:val="24"/>
          <w:highlight w:val="none"/>
        </w:rPr>
        <w:t>江苏政府采购网</w:t>
      </w:r>
      <w:bookmarkEnd w:id="36"/>
      <w:r>
        <w:rPr>
          <w:rFonts w:hint="eastAsia" w:ascii="仿宋" w:hAnsi="仿宋" w:eastAsia="仿宋" w:cs="仿宋"/>
          <w:color w:val="auto"/>
          <w:sz w:val="24"/>
          <w:szCs w:val="24"/>
          <w:highlight w:val="none"/>
        </w:rPr>
        <w:t>、宿迁市政府采购网等。</w:t>
      </w:r>
    </w:p>
    <w:p w14:paraId="09611604">
      <w:pPr>
        <w:spacing w:line="48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2.“CA”数字证书办理：“苏采云”系统目前仅支持“苏采云”系统下的意源CA。省内各地区办理的“苏采云”系统下的意源CA全省通用。宿迁地区CA数字证书办理联系方式：18762803891。</w:t>
      </w:r>
    </w:p>
    <w:p w14:paraId="19F21E0C">
      <w:pPr>
        <w:spacing w:line="48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3.宿迁地区“苏采云”系统技术支持客服电话：0527-84225125、0519-86722806。</w:t>
      </w:r>
    </w:p>
    <w:p w14:paraId="2FC4C171">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highlight w:val="none"/>
        </w:rPr>
        <w:t>质疑渠道：投标人登录“苏采云”系统“项目质疑申请”模块向采购人提出，质疑处理联系方式详见“采购人信息”；</w:t>
      </w:r>
      <w:r>
        <w:rPr>
          <w:rFonts w:hint="eastAsia" w:ascii="仿宋" w:hAnsi="仿宋" w:eastAsia="仿宋" w:cs="仿宋"/>
          <w:color w:val="auto"/>
          <w:sz w:val="24"/>
          <w:szCs w:val="24"/>
          <w:highlight w:val="none"/>
        </w:rPr>
        <w:t>财政部门投诉受理电话：0527-84363063。</w:t>
      </w:r>
    </w:p>
    <w:p w14:paraId="3EFE810F">
      <w:pPr>
        <w:spacing w:before="0" w:after="0" w:line="560" w:lineRule="exact"/>
        <w:ind w:firstLine="498"/>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七、本次招标联系方式</w:t>
      </w:r>
      <w:bookmarkEnd w:id="31"/>
      <w:bookmarkEnd w:id="32"/>
      <w:bookmarkEnd w:id="33"/>
      <w:bookmarkEnd w:id="34"/>
      <w:bookmarkEnd w:id="35"/>
    </w:p>
    <w:p w14:paraId="7F02C4FA">
      <w:pPr>
        <w:widowControl/>
        <w:spacing w:line="560" w:lineRule="exact"/>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F0D7E23">
      <w:pPr>
        <w:spacing w:line="560" w:lineRule="exact"/>
        <w:ind w:left="479" w:firstLine="180"/>
        <w:jc w:val="left"/>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名称：</w:t>
      </w:r>
      <w:r>
        <w:rPr>
          <w:rFonts w:hint="eastAsia" w:ascii="仿宋" w:hAnsi="仿宋" w:eastAsia="仿宋" w:cs="仿宋"/>
          <w:color w:val="auto"/>
          <w:sz w:val="24"/>
          <w:szCs w:val="24"/>
          <w:highlight w:val="none"/>
          <w:u w:val="none"/>
          <w:lang w:eastAsia="zh-CN"/>
        </w:rPr>
        <w:t>宿迁市自然资源和规划局</w:t>
      </w:r>
    </w:p>
    <w:p w14:paraId="433DE80D">
      <w:pPr>
        <w:spacing w:line="560" w:lineRule="exact"/>
        <w:ind w:left="479" w:firstLine="180"/>
        <w:jc w:val="left"/>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地址：</w:t>
      </w:r>
      <w:r>
        <w:rPr>
          <w:rFonts w:hint="eastAsia" w:ascii="仿宋" w:hAnsi="仿宋" w:eastAsia="仿宋" w:cs="仿宋"/>
          <w:color w:val="auto"/>
          <w:sz w:val="24"/>
          <w:szCs w:val="24"/>
          <w:highlight w:val="none"/>
          <w:u w:val="none"/>
          <w:lang w:eastAsia="zh-CN"/>
        </w:rPr>
        <w:t>宿迁市宿城区洪泽湖路887号</w:t>
      </w:r>
    </w:p>
    <w:p w14:paraId="4D638C2C">
      <w:pPr>
        <w:spacing w:line="560" w:lineRule="exact"/>
        <w:ind w:left="479" w:firstLine="18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联系人：</w:t>
      </w:r>
      <w:r>
        <w:rPr>
          <w:rFonts w:hint="eastAsia" w:ascii="仿宋" w:hAnsi="仿宋" w:eastAsia="仿宋" w:cs="仿宋"/>
          <w:color w:val="auto"/>
          <w:sz w:val="24"/>
          <w:szCs w:val="24"/>
          <w:highlight w:val="none"/>
          <w:u w:val="none"/>
          <w:lang w:eastAsia="zh-CN"/>
        </w:rPr>
        <w:t>袁景</w:t>
      </w:r>
    </w:p>
    <w:p w14:paraId="2189B243">
      <w:pPr>
        <w:spacing w:line="560" w:lineRule="exact"/>
        <w:ind w:left="479" w:firstLine="180"/>
        <w:jc w:val="lef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rPr>
        <w:t>联系方式：</w:t>
      </w:r>
      <w:bookmarkStart w:id="37" w:name="_Toc28359009"/>
      <w:bookmarkStart w:id="38" w:name="_Toc28359086"/>
      <w:r>
        <w:rPr>
          <w:rFonts w:hint="eastAsia" w:ascii="仿宋" w:hAnsi="仿宋" w:eastAsia="仿宋" w:cs="仿宋"/>
          <w:color w:val="auto"/>
          <w:sz w:val="24"/>
          <w:szCs w:val="24"/>
          <w:highlight w:val="none"/>
          <w:u w:val="none"/>
          <w:lang w:val="en-US" w:eastAsia="zh-CN"/>
        </w:rPr>
        <w:t>0527-84359612</w:t>
      </w:r>
    </w:p>
    <w:p w14:paraId="2F245535">
      <w:pPr>
        <w:widowControl/>
        <w:spacing w:line="560" w:lineRule="exact"/>
        <w:ind w:firstLine="48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w:t>
      </w:r>
      <w:bookmarkEnd w:id="37"/>
      <w:bookmarkEnd w:id="38"/>
      <w:r>
        <w:rPr>
          <w:rFonts w:hint="eastAsia" w:ascii="仿宋" w:hAnsi="仿宋" w:eastAsia="仿宋" w:cs="仿宋"/>
          <w:color w:val="auto"/>
          <w:sz w:val="24"/>
          <w:szCs w:val="24"/>
          <w:highlight w:val="none"/>
          <w:u w:val="none"/>
        </w:rPr>
        <w:t>采购代理机构信息</w:t>
      </w:r>
    </w:p>
    <w:p w14:paraId="2D16C176">
      <w:pPr>
        <w:spacing w:line="560" w:lineRule="exact"/>
        <w:ind w:left="479" w:firstLine="180"/>
        <w:jc w:val="left"/>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名称：</w:t>
      </w:r>
      <w:r>
        <w:rPr>
          <w:rFonts w:hint="eastAsia" w:ascii="仿宋" w:hAnsi="仿宋" w:eastAsia="仿宋" w:cs="仿宋"/>
          <w:color w:val="auto"/>
          <w:sz w:val="24"/>
          <w:szCs w:val="24"/>
          <w:highlight w:val="none"/>
          <w:u w:val="none"/>
          <w:lang w:eastAsia="zh-CN"/>
        </w:rPr>
        <w:t>江苏宏壮工程项目管理有限公司</w:t>
      </w:r>
    </w:p>
    <w:p w14:paraId="2C06F644">
      <w:pPr>
        <w:spacing w:line="560" w:lineRule="exact"/>
        <w:ind w:left="479" w:firstLine="180"/>
        <w:jc w:val="left"/>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地址：</w:t>
      </w:r>
      <w:r>
        <w:rPr>
          <w:rFonts w:hint="eastAsia" w:ascii="仿宋" w:hAnsi="仿宋" w:eastAsia="仿宋" w:cs="仿宋"/>
          <w:color w:val="auto"/>
          <w:sz w:val="24"/>
          <w:szCs w:val="24"/>
          <w:highlight w:val="none"/>
          <w:u w:val="none"/>
          <w:lang w:eastAsia="zh-CN"/>
        </w:rPr>
        <w:t>宿迁市宿城区中港雅典城A2#铺03</w:t>
      </w:r>
    </w:p>
    <w:p w14:paraId="146902FB">
      <w:pPr>
        <w:spacing w:line="560" w:lineRule="exact"/>
        <w:ind w:left="479" w:firstLine="18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联系人：</w:t>
      </w:r>
      <w:r>
        <w:rPr>
          <w:rFonts w:hint="eastAsia" w:ascii="仿宋" w:hAnsi="仿宋" w:eastAsia="仿宋" w:cs="仿宋"/>
          <w:color w:val="auto"/>
          <w:sz w:val="24"/>
          <w:szCs w:val="24"/>
          <w:highlight w:val="none"/>
          <w:u w:val="none"/>
          <w:lang w:eastAsia="zh-CN"/>
        </w:rPr>
        <w:t>许益</w:t>
      </w:r>
    </w:p>
    <w:p w14:paraId="0AC6CAAF">
      <w:pPr>
        <w:spacing w:line="560" w:lineRule="exact"/>
        <w:ind w:left="479" w:firstLine="18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联系方式：</w:t>
      </w:r>
      <w:bookmarkStart w:id="39" w:name="_Toc28359087"/>
      <w:bookmarkStart w:id="40" w:name="_Toc28359010"/>
      <w:r>
        <w:rPr>
          <w:rFonts w:hint="eastAsia" w:ascii="仿宋" w:hAnsi="仿宋" w:eastAsia="仿宋" w:cs="仿宋"/>
          <w:color w:val="auto"/>
          <w:sz w:val="24"/>
          <w:szCs w:val="24"/>
          <w:highlight w:val="none"/>
          <w:u w:val="none"/>
        </w:rPr>
        <w:t xml:space="preserve"> </w:t>
      </w:r>
      <w:bookmarkEnd w:id="39"/>
      <w:bookmarkEnd w:id="40"/>
      <w:r>
        <w:rPr>
          <w:rFonts w:hint="eastAsia" w:ascii="仿宋" w:hAnsi="仿宋" w:eastAsia="仿宋" w:cs="仿宋"/>
          <w:color w:val="auto"/>
          <w:sz w:val="24"/>
          <w:szCs w:val="24"/>
          <w:highlight w:val="none"/>
          <w:u w:val="none"/>
          <w:lang w:eastAsia="zh-CN"/>
        </w:rPr>
        <w:t>0527-84227585、15950608601</w:t>
      </w:r>
    </w:p>
    <w:p w14:paraId="3AC36032">
      <w:pPr>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44"/>
          <w:szCs w:val="44"/>
          <w:highlight w:val="none"/>
        </w:rPr>
      </w:pPr>
      <w:bookmarkStart w:id="41" w:name="_Toc120614211"/>
      <w:r>
        <w:rPr>
          <w:rFonts w:hint="eastAsia" w:ascii="仿宋" w:hAnsi="仿宋" w:eastAsia="仿宋" w:cs="仿宋"/>
          <w:color w:val="auto"/>
          <w:highlight w:val="none"/>
        </w:rPr>
        <w:br w:type="page" w:clear="all"/>
      </w:r>
      <w:bookmarkEnd w:id="41"/>
      <w:bookmarkStart w:id="42" w:name="_Toc16938518"/>
      <w:bookmarkStart w:id="43" w:name="_Toc20823274"/>
      <w:bookmarkStart w:id="44" w:name="_Toc513029202"/>
      <w:bookmarkStart w:id="45" w:name="_Toc120614213"/>
      <w:bookmarkStart w:id="46" w:name="_Toc7933"/>
      <w:r>
        <w:rPr>
          <w:rFonts w:hint="eastAsia" w:ascii="仿宋" w:hAnsi="仿宋" w:eastAsia="仿宋" w:cs="仿宋"/>
          <w:b/>
          <w:bCs/>
          <w:color w:val="auto"/>
          <w:sz w:val="44"/>
          <w:szCs w:val="44"/>
          <w:highlight w:val="none"/>
          <w:lang w:val="en-US" w:eastAsia="zh-CN"/>
        </w:rPr>
        <w:t>第二章</w:t>
      </w:r>
      <w:r>
        <w:rPr>
          <w:rFonts w:hint="eastAsia" w:ascii="仿宋" w:hAnsi="仿宋" w:eastAsia="仿宋" w:cs="仿宋"/>
          <w:b/>
          <w:bCs/>
          <w:color w:val="auto"/>
          <w:sz w:val="44"/>
          <w:szCs w:val="44"/>
          <w:highlight w:val="none"/>
        </w:rPr>
        <w:t xml:space="preserve">  投标人须知</w:t>
      </w:r>
      <w:bookmarkEnd w:id="42"/>
      <w:bookmarkEnd w:id="43"/>
      <w:bookmarkEnd w:id="44"/>
      <w:bookmarkEnd w:id="45"/>
      <w:bookmarkEnd w:id="46"/>
    </w:p>
    <w:p w14:paraId="0290B528">
      <w:pPr>
        <w:spacing w:before="0" w:after="120" w:line="520" w:lineRule="exact"/>
        <w:rPr>
          <w:rFonts w:hint="eastAsia" w:ascii="仿宋" w:hAnsi="仿宋" w:eastAsia="仿宋" w:cs="仿宋"/>
          <w:b/>
          <w:bCs w:val="0"/>
          <w:color w:val="auto"/>
          <w:sz w:val="28"/>
          <w:szCs w:val="28"/>
          <w:highlight w:val="none"/>
        </w:rPr>
      </w:pPr>
      <w:bookmarkStart w:id="47" w:name="_Toc4529"/>
      <w:r>
        <w:rPr>
          <w:rFonts w:hint="eastAsia" w:ascii="仿宋" w:hAnsi="仿宋" w:eastAsia="仿宋" w:cs="仿宋"/>
          <w:b/>
          <w:bCs w:val="0"/>
          <w:color w:val="auto"/>
          <w:sz w:val="28"/>
          <w:szCs w:val="28"/>
          <w:highlight w:val="none"/>
        </w:rPr>
        <w:t>投标人须知前附表：</w:t>
      </w:r>
      <w:bookmarkEnd w:id="47"/>
    </w:p>
    <w:tbl>
      <w:tblPr>
        <w:tblStyle w:val="2"/>
        <w:tblpPr w:leftFromText="180" w:rightFromText="180" w:vertAnchor="text" w:horzAnchor="page" w:tblpX="1530" w:tblpY="228"/>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1764"/>
        <w:gridCol w:w="6550"/>
      </w:tblGrid>
      <w:tr w14:paraId="06CC2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465" w:type="pct"/>
            <w:noWrap w:val="0"/>
            <w:vAlign w:val="center"/>
          </w:tcPr>
          <w:p w14:paraId="3902E481">
            <w:pPr>
              <w:jc w:val="center"/>
              <w:rPr>
                <w:rFonts w:hint="eastAsia" w:ascii="仿宋" w:hAnsi="仿宋" w:eastAsia="仿宋" w:cs="仿宋"/>
                <w:b/>
                <w:color w:val="auto"/>
                <w:sz w:val="24"/>
                <w:szCs w:val="24"/>
                <w:highlight w:val="none"/>
              </w:rPr>
            </w:pPr>
            <w:bookmarkStart w:id="48" w:name="_Toc81575154"/>
            <w:bookmarkStart w:id="49" w:name="_Toc29262"/>
            <w:bookmarkStart w:id="50" w:name="_Toc81575191"/>
            <w:r>
              <w:rPr>
                <w:rFonts w:hint="eastAsia" w:ascii="仿宋" w:hAnsi="仿宋" w:eastAsia="仿宋" w:cs="仿宋"/>
                <w:b/>
                <w:color w:val="auto"/>
                <w:sz w:val="24"/>
                <w:szCs w:val="24"/>
                <w:highlight w:val="none"/>
              </w:rPr>
              <w:t>序号</w:t>
            </w:r>
          </w:p>
        </w:tc>
        <w:tc>
          <w:tcPr>
            <w:tcW w:w="962" w:type="pct"/>
            <w:noWrap w:val="0"/>
            <w:vAlign w:val="center"/>
          </w:tcPr>
          <w:p w14:paraId="0DB0FB4D">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内容</w:t>
            </w:r>
          </w:p>
        </w:tc>
        <w:tc>
          <w:tcPr>
            <w:tcW w:w="3572" w:type="pct"/>
            <w:noWrap w:val="0"/>
            <w:vAlign w:val="center"/>
          </w:tcPr>
          <w:p w14:paraId="734ADD49">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说明及要求</w:t>
            </w:r>
          </w:p>
        </w:tc>
      </w:tr>
      <w:tr w14:paraId="205FC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noWrap w:val="0"/>
            <w:vAlign w:val="center"/>
          </w:tcPr>
          <w:p w14:paraId="6F090CEC">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62" w:type="pct"/>
            <w:noWrap w:val="0"/>
            <w:vAlign w:val="center"/>
          </w:tcPr>
          <w:p w14:paraId="2CACFE43">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项目属性</w:t>
            </w:r>
          </w:p>
        </w:tc>
        <w:tc>
          <w:tcPr>
            <w:tcW w:w="3572" w:type="pct"/>
            <w:noWrap w:val="0"/>
            <w:vAlign w:val="center"/>
          </w:tcPr>
          <w:p w14:paraId="7ABC576A">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w:t>
            </w:r>
            <w:bookmarkStart w:id="51" w:name="EB9a5853ee094f4f0ea6ec3169265f6f2c"/>
            <w:r>
              <w:rPr>
                <w:rFonts w:hint="eastAsia" w:ascii="仿宋" w:hAnsi="仿宋" w:eastAsia="仿宋" w:cs="仿宋"/>
                <w:color w:val="auto"/>
                <w:sz w:val="24"/>
                <w:szCs w:val="24"/>
                <w:highlight w:val="none"/>
              </w:rPr>
              <w:t>属性按以下第</w:t>
            </w:r>
            <w:bookmarkEnd w:id="51"/>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rPr>
              <w:t>种确定：</w:t>
            </w:r>
          </w:p>
          <w:p w14:paraId="18A97DFB">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w:t>
            </w:r>
            <w:bookmarkStart w:id="52" w:name="EBd5c6c026f9674c39b21b31ecd0c1e7fa"/>
            <w:r>
              <w:rPr>
                <w:rFonts w:hint="eastAsia" w:ascii="仿宋" w:hAnsi="仿宋" w:eastAsia="仿宋" w:cs="仿宋"/>
                <w:color w:val="auto"/>
                <w:sz w:val="24"/>
                <w:szCs w:val="24"/>
                <w:highlight w:val="none"/>
              </w:rPr>
              <w:t>采购；2.</w:t>
            </w:r>
            <w:bookmarkEnd w:id="52"/>
            <w:r>
              <w:rPr>
                <w:rFonts w:hint="eastAsia" w:ascii="仿宋" w:hAnsi="仿宋" w:eastAsia="仿宋" w:cs="仿宋"/>
                <w:color w:val="auto"/>
                <w:sz w:val="24"/>
                <w:szCs w:val="24"/>
                <w:highlight w:val="none"/>
              </w:rPr>
              <w:t>服务</w:t>
            </w:r>
            <w:bookmarkStart w:id="53" w:name="EBf7d2a4f44ecb4166a93ea852e73be69f"/>
            <w:r>
              <w:rPr>
                <w:rFonts w:hint="eastAsia" w:ascii="仿宋" w:hAnsi="仿宋" w:eastAsia="仿宋" w:cs="仿宋"/>
                <w:color w:val="auto"/>
                <w:sz w:val="24"/>
                <w:szCs w:val="24"/>
                <w:highlight w:val="none"/>
              </w:rPr>
              <w:t>采购；3.</w:t>
            </w:r>
            <w:bookmarkEnd w:id="53"/>
            <w:r>
              <w:rPr>
                <w:rFonts w:hint="eastAsia" w:ascii="仿宋" w:hAnsi="仿宋" w:eastAsia="仿宋" w:cs="仿宋"/>
                <w:color w:val="auto"/>
                <w:sz w:val="24"/>
                <w:szCs w:val="24"/>
                <w:highlight w:val="none"/>
              </w:rPr>
              <w:t>工程采购。</w:t>
            </w:r>
          </w:p>
        </w:tc>
      </w:tr>
      <w:tr w14:paraId="10B85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noWrap w:val="0"/>
            <w:vAlign w:val="center"/>
          </w:tcPr>
          <w:p w14:paraId="2B594740">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62" w:type="pct"/>
            <w:noWrap w:val="0"/>
            <w:vAlign w:val="center"/>
          </w:tcPr>
          <w:p w14:paraId="4BD6DFBE">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3572" w:type="pct"/>
            <w:noWrap w:val="0"/>
            <w:vAlign w:val="center"/>
          </w:tcPr>
          <w:p w14:paraId="6194406E">
            <w:pPr>
              <w:spacing w:line="400" w:lineRule="exact"/>
              <w:jc w:val="left"/>
              <w:rPr>
                <w:rFonts w:hint="eastAsia" w:ascii="仿宋" w:hAnsi="仿宋" w:eastAsia="仿宋" w:cs="仿宋"/>
                <w:color w:val="auto"/>
                <w:sz w:val="24"/>
                <w:szCs w:val="24"/>
                <w:highlight w:val="none"/>
              </w:rPr>
            </w:pPr>
            <w:bookmarkStart w:id="54" w:name="EBd40b5fb42f2944a3b45e579ce3941f02"/>
            <w:bookmarkEnd w:id="54"/>
            <w:r>
              <w:rPr>
                <w:rFonts w:hint="eastAsia" w:ascii="仿宋" w:hAnsi="仿宋" w:eastAsia="仿宋" w:cs="仿宋"/>
                <w:color w:val="auto"/>
                <w:sz w:val="24"/>
                <w:szCs w:val="24"/>
                <w:highlight w:val="none"/>
              </w:rPr>
              <w:t>60日（从提交投标文件截止之日起算）</w:t>
            </w:r>
          </w:p>
        </w:tc>
      </w:tr>
      <w:tr w14:paraId="7CAB9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noWrap w:val="0"/>
            <w:vAlign w:val="center"/>
          </w:tcPr>
          <w:p w14:paraId="6475F50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62" w:type="pct"/>
            <w:noWrap w:val="0"/>
            <w:vAlign w:val="center"/>
          </w:tcPr>
          <w:p w14:paraId="385170BB">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投标文件份数</w:t>
            </w:r>
          </w:p>
        </w:tc>
        <w:tc>
          <w:tcPr>
            <w:tcW w:w="3572" w:type="pct"/>
            <w:noWrap w:val="0"/>
            <w:vAlign w:val="center"/>
          </w:tcPr>
          <w:p w14:paraId="3CE98F48">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提交加密电子投标文件</w:t>
            </w:r>
            <w:r>
              <w:rPr>
                <w:rFonts w:hint="eastAsia" w:ascii="仿宋" w:hAnsi="仿宋" w:eastAsia="仿宋" w:cs="仿宋"/>
                <w:color w:val="auto"/>
                <w:sz w:val="24"/>
                <w:szCs w:val="24"/>
                <w:highlight w:val="none"/>
                <w:u w:val="single"/>
              </w:rPr>
              <w:t>1</w:t>
            </w:r>
            <w:r>
              <w:rPr>
                <w:rFonts w:hint="eastAsia" w:ascii="仿宋" w:hAnsi="仿宋" w:eastAsia="仿宋" w:cs="仿宋"/>
                <w:color w:val="auto"/>
                <w:sz w:val="24"/>
                <w:szCs w:val="24"/>
                <w:highlight w:val="none"/>
              </w:rPr>
              <w:t>份。</w:t>
            </w:r>
          </w:p>
        </w:tc>
      </w:tr>
      <w:tr w14:paraId="5296E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noWrap w:val="0"/>
            <w:vAlign w:val="center"/>
          </w:tcPr>
          <w:p w14:paraId="69B6F849">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62" w:type="pct"/>
            <w:noWrap w:val="0"/>
            <w:vAlign w:val="center"/>
          </w:tcPr>
          <w:p w14:paraId="0117809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w:t>
            </w:r>
          </w:p>
        </w:tc>
        <w:tc>
          <w:tcPr>
            <w:tcW w:w="3572" w:type="pct"/>
            <w:noWrap w:val="0"/>
            <w:vAlign w:val="center"/>
          </w:tcPr>
          <w:p w14:paraId="233C29AF">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“苏采云”政府采购交易系统网上开标大厅进行不见面开标。</w:t>
            </w:r>
          </w:p>
        </w:tc>
      </w:tr>
      <w:tr w14:paraId="1ACB3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65" w:type="pct"/>
            <w:noWrap w:val="0"/>
            <w:vAlign w:val="center"/>
          </w:tcPr>
          <w:p w14:paraId="1373BB1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62" w:type="pct"/>
            <w:noWrap w:val="0"/>
            <w:vAlign w:val="center"/>
          </w:tcPr>
          <w:p w14:paraId="1634D455">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进口产品</w:t>
            </w:r>
          </w:p>
        </w:tc>
        <w:tc>
          <w:tcPr>
            <w:tcW w:w="3572" w:type="pct"/>
            <w:noWrap w:val="0"/>
            <w:vAlign w:val="center"/>
          </w:tcPr>
          <w:p w14:paraId="13572D50">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按以下第</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种方式确定：</w:t>
            </w:r>
          </w:p>
          <w:p w14:paraId="66B152B7">
            <w:pPr>
              <w:widowControl/>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1.接受进口产品。</w:t>
            </w:r>
            <w:r>
              <w:rPr>
                <w:rFonts w:hint="eastAsia" w:ascii="仿宋" w:hAnsi="仿宋" w:eastAsia="仿宋" w:cs="仿宋"/>
                <w:color w:val="auto"/>
                <w:sz w:val="24"/>
                <w:highlight w:val="none"/>
              </w:rPr>
              <w:t>应当符合《政府采购进口产品管理办法》（财库〔2007〕119号）、《关于政府采购进口产品管理有关问题的通知》（财办库〔2008〕248号）等相关规定</w:t>
            </w:r>
            <w:r>
              <w:rPr>
                <w:rFonts w:hint="eastAsia" w:ascii="仿宋" w:hAnsi="仿宋" w:eastAsia="仿宋" w:cs="仿宋"/>
                <w:color w:val="auto"/>
                <w:sz w:val="24"/>
                <w:szCs w:val="24"/>
                <w:highlight w:val="none"/>
              </w:rPr>
              <w:t>；</w:t>
            </w:r>
          </w:p>
          <w:p w14:paraId="08B989F0">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2.不接受进口产品。</w:t>
            </w:r>
          </w:p>
        </w:tc>
      </w:tr>
      <w:tr w14:paraId="0C239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noWrap w:val="0"/>
            <w:vAlign w:val="center"/>
          </w:tcPr>
          <w:p w14:paraId="4068766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962" w:type="pct"/>
            <w:noWrap w:val="0"/>
            <w:vAlign w:val="center"/>
          </w:tcPr>
          <w:p w14:paraId="1B05000D">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评标办法</w:t>
            </w:r>
          </w:p>
        </w:tc>
        <w:tc>
          <w:tcPr>
            <w:tcW w:w="3572" w:type="pct"/>
            <w:noWrap w:val="0"/>
            <w:vAlign w:val="center"/>
          </w:tcPr>
          <w:p w14:paraId="7773E455">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具体评标办法详见招标文件第三章。</w:t>
            </w:r>
          </w:p>
          <w:p w14:paraId="753F3BFD">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评标委员会依据招标文件规定的评标办法和标准推荐</w:t>
            </w:r>
            <w:r>
              <w:rPr>
                <w:rFonts w:hint="eastAsia" w:ascii="仿宋" w:hAnsi="仿宋" w:eastAsia="仿宋" w:cs="仿宋"/>
                <w:color w:val="auto"/>
                <w:sz w:val="24"/>
                <w:szCs w:val="24"/>
                <w:highlight w:val="none"/>
                <w:u w:val="single"/>
              </w:rPr>
              <w:t>3</w:t>
            </w:r>
            <w:r>
              <w:rPr>
                <w:rFonts w:hint="eastAsia" w:ascii="仿宋" w:hAnsi="仿宋" w:eastAsia="仿宋" w:cs="仿宋"/>
                <w:color w:val="auto"/>
                <w:sz w:val="24"/>
                <w:szCs w:val="24"/>
                <w:highlight w:val="none"/>
              </w:rPr>
              <w:t>名中标候选人。</w:t>
            </w:r>
          </w:p>
        </w:tc>
      </w:tr>
      <w:tr w14:paraId="056BF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noWrap w:val="0"/>
            <w:vAlign w:val="center"/>
          </w:tcPr>
          <w:p w14:paraId="27B07F5D">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962" w:type="pct"/>
            <w:noWrap w:val="0"/>
            <w:vAlign w:val="center"/>
          </w:tcPr>
          <w:p w14:paraId="25E98D3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确定中标人</w:t>
            </w:r>
          </w:p>
        </w:tc>
        <w:tc>
          <w:tcPr>
            <w:tcW w:w="3572" w:type="pct"/>
            <w:noWrap w:val="0"/>
            <w:vAlign w:val="center"/>
          </w:tcPr>
          <w:p w14:paraId="5BD6D0C0">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按以下第</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rPr>
              <w:t>种方式确定中标人：</w:t>
            </w:r>
          </w:p>
          <w:p w14:paraId="21371B06">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1.采购人按规定在评标委员会推荐的中标候选人中确定中标人；</w:t>
            </w:r>
          </w:p>
          <w:p w14:paraId="52168A67">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2.采购人授权评标委员会直接确定中标人。</w:t>
            </w:r>
          </w:p>
        </w:tc>
      </w:tr>
      <w:tr w14:paraId="760D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noWrap w:val="0"/>
            <w:vAlign w:val="center"/>
          </w:tcPr>
          <w:p w14:paraId="45E834B0">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62" w:type="pct"/>
            <w:noWrap w:val="0"/>
            <w:vAlign w:val="center"/>
          </w:tcPr>
          <w:p w14:paraId="69A64AC4">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分包要求</w:t>
            </w:r>
          </w:p>
        </w:tc>
        <w:tc>
          <w:tcPr>
            <w:tcW w:w="3572" w:type="pct"/>
            <w:noWrap w:val="0"/>
            <w:vAlign w:val="center"/>
          </w:tcPr>
          <w:p w14:paraId="345C83E7">
            <w:pPr>
              <w:spacing w:line="400" w:lineRule="exact"/>
              <w:jc w:val="left"/>
              <w:rPr>
                <w:rFonts w:hint="eastAsia" w:ascii="仿宋" w:hAnsi="仿宋" w:eastAsia="仿宋" w:cs="仿宋"/>
                <w:color w:val="auto"/>
                <w:sz w:val="24"/>
                <w:szCs w:val="24"/>
                <w:highlight w:val="none"/>
              </w:rPr>
            </w:pPr>
            <w:bookmarkStart w:id="55" w:name="EBebac1462c5d9459fbda8a75065c2455d"/>
            <w:r>
              <w:rPr>
                <w:rFonts w:hint="eastAsia" w:ascii="仿宋" w:hAnsi="仿宋" w:eastAsia="仿宋" w:cs="仿宋"/>
                <w:color w:val="auto"/>
                <w:sz w:val="24"/>
                <w:szCs w:val="24"/>
                <w:highlight w:val="none"/>
              </w:rPr>
              <w:t>本项目的非主体、非关键性工作是否允许分包</w:t>
            </w:r>
            <w:bookmarkEnd w:id="55"/>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以下</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u w:val="single"/>
              </w:rPr>
              <w:t>  2  </w:t>
            </w:r>
            <w:r>
              <w:rPr>
                <w:rFonts w:hint="eastAsia" w:ascii="仿宋" w:hAnsi="仿宋" w:eastAsia="仿宋" w:cs="仿宋"/>
                <w:color w:val="auto"/>
                <w:sz w:val="24"/>
                <w:szCs w:val="24"/>
                <w:highlight w:val="none"/>
              </w:rPr>
              <w:t>种方式确定：</w:t>
            </w:r>
          </w:p>
          <w:p w14:paraId="5C4BF5A0">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1.允许分包，</w:t>
            </w:r>
            <w:bookmarkStart w:id="56" w:name="EB512ba06683724173802e2aae54a26079"/>
            <w:r>
              <w:rPr>
                <w:rFonts w:hint="eastAsia" w:ascii="仿宋" w:hAnsi="仿宋" w:eastAsia="仿宋" w:cs="仿宋"/>
                <w:color w:val="auto"/>
                <w:sz w:val="24"/>
                <w:szCs w:val="24"/>
                <w:highlight w:val="none"/>
              </w:rPr>
              <w:t>允许大中型企业向一家或者多家小微企业分包，分包具体内容、金额或比例：</w:t>
            </w:r>
            <w:bookmarkEnd w:id="56"/>
            <w:r>
              <w:rPr>
                <w:rFonts w:hint="eastAsia" w:ascii="仿宋" w:hAnsi="仿宋" w:eastAsia="仿宋" w:cs="仿宋"/>
                <w:color w:val="auto"/>
                <w:sz w:val="24"/>
                <w:szCs w:val="24"/>
                <w:highlight w:val="none"/>
              </w:rPr>
              <w:t>无</w:t>
            </w:r>
          </w:p>
          <w:p w14:paraId="1566B418">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2.不允许分包。</w:t>
            </w:r>
          </w:p>
        </w:tc>
      </w:tr>
      <w:tr w14:paraId="28346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noWrap w:val="0"/>
            <w:vAlign w:val="center"/>
          </w:tcPr>
          <w:p w14:paraId="2F37EBA0">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62" w:type="pct"/>
            <w:noWrap w:val="0"/>
            <w:vAlign w:val="center"/>
          </w:tcPr>
          <w:p w14:paraId="6B49A953">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代理费用收取方式及标准</w:t>
            </w:r>
          </w:p>
        </w:tc>
        <w:tc>
          <w:tcPr>
            <w:tcW w:w="3572" w:type="pct"/>
            <w:noWrap w:val="0"/>
            <w:vAlign w:val="center"/>
          </w:tcPr>
          <w:p w14:paraId="79F4CD45">
            <w:pPr>
              <w:spacing w:line="400" w:lineRule="exact"/>
              <w:jc w:val="left"/>
              <w:rPr>
                <w:rFonts w:hint="eastAsia" w:ascii="仿宋" w:hAnsi="仿宋" w:eastAsia="仿宋" w:cs="仿宋"/>
                <w:color w:val="auto"/>
                <w:sz w:val="24"/>
                <w:szCs w:val="24"/>
                <w:highlight w:val="none"/>
              </w:rPr>
            </w:pPr>
            <w:bookmarkStart w:id="57" w:name="EBfe735bb6fc4d4e5e9e350f940db98c5f"/>
            <w:bookmarkEnd w:id="57"/>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val="zh-CN"/>
              </w:rPr>
              <w:t>按采购代理合同标准支付招标代理服务费。</w:t>
            </w:r>
          </w:p>
        </w:tc>
      </w:tr>
      <w:tr w14:paraId="0A56C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noWrap w:val="0"/>
            <w:vAlign w:val="center"/>
          </w:tcPr>
          <w:p w14:paraId="20F3839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62" w:type="pct"/>
            <w:noWrap w:val="0"/>
            <w:vAlign w:val="center"/>
          </w:tcPr>
          <w:p w14:paraId="46D0FA1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bookmarkEnd w:id="48"/>
            <w:bookmarkEnd w:id="49"/>
            <w:bookmarkEnd w:id="50"/>
          </w:p>
        </w:tc>
        <w:tc>
          <w:tcPr>
            <w:tcW w:w="3572" w:type="pct"/>
            <w:noWrap w:val="0"/>
            <w:vAlign w:val="center"/>
          </w:tcPr>
          <w:p w14:paraId="5C7CD5B3">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信用信息查询截止时间：资格审查结束前。由采购人在资格审查现场查询信用信息，网页截屏打印，查询结果留存并归档。</w:t>
            </w:r>
          </w:p>
        </w:tc>
      </w:tr>
    </w:tbl>
    <w:p w14:paraId="13A22EDF">
      <w:pPr>
        <w:rPr>
          <w:rFonts w:hint="eastAsia" w:ascii="仿宋" w:hAnsi="仿宋" w:eastAsia="仿宋" w:cs="仿宋"/>
          <w:color w:val="auto"/>
          <w:sz w:val="20"/>
          <w:highlight w:val="none"/>
        </w:rPr>
      </w:pPr>
    </w:p>
    <w:p w14:paraId="30468730">
      <w:pPr>
        <w:numPr>
          <w:ilvl w:val="0"/>
          <w:numId w:val="0"/>
        </w:numPr>
        <w:rPr>
          <w:rFonts w:hint="eastAsia" w:ascii="仿宋" w:hAnsi="仿宋" w:eastAsia="仿宋" w:cs="仿宋"/>
          <w:color w:val="auto"/>
          <w:highlight w:val="none"/>
        </w:rPr>
      </w:pPr>
    </w:p>
    <w:p w14:paraId="206D6A9D">
      <w:pPr>
        <w:spacing w:before="0" w:after="0" w:line="560" w:lineRule="exact"/>
        <w:ind w:firstLine="498"/>
        <w:rPr>
          <w:rFonts w:hint="eastAsia" w:ascii="仿宋" w:hAnsi="仿宋" w:eastAsia="仿宋" w:cs="仿宋"/>
          <w:b/>
          <w:bCs/>
          <w:color w:val="auto"/>
          <w:sz w:val="28"/>
          <w:szCs w:val="28"/>
          <w:highlight w:val="none"/>
        </w:rPr>
      </w:pPr>
      <w:bookmarkStart w:id="58" w:name="_Toc513029203"/>
      <w:bookmarkStart w:id="59" w:name="_Toc120614214"/>
      <w:bookmarkStart w:id="60" w:name="_Toc20823275"/>
      <w:bookmarkStart w:id="61" w:name="_Toc16938519"/>
      <w:r>
        <w:rPr>
          <w:rFonts w:hint="eastAsia" w:ascii="仿宋" w:hAnsi="仿宋" w:eastAsia="仿宋" w:cs="仿宋"/>
          <w:b/>
          <w:bCs/>
          <w:color w:val="auto"/>
          <w:sz w:val="28"/>
          <w:szCs w:val="28"/>
          <w:highlight w:val="none"/>
        </w:rPr>
        <w:t>一、总则</w:t>
      </w:r>
      <w:bookmarkEnd w:id="58"/>
      <w:bookmarkEnd w:id="59"/>
      <w:bookmarkEnd w:id="60"/>
      <w:bookmarkEnd w:id="61"/>
    </w:p>
    <w:p w14:paraId="7BC058C8">
      <w:pPr>
        <w:spacing w:line="560" w:lineRule="exact"/>
        <w:ind w:firstLine="480"/>
        <w:rPr>
          <w:rFonts w:hint="eastAsia" w:ascii="仿宋" w:hAnsi="仿宋" w:eastAsia="仿宋" w:cs="仿宋"/>
          <w:b/>
          <w:bCs/>
          <w:color w:val="auto"/>
          <w:sz w:val="24"/>
          <w:highlight w:val="none"/>
        </w:rPr>
      </w:pPr>
      <w:bookmarkStart w:id="62" w:name="_Hlt16619475"/>
      <w:bookmarkEnd w:id="62"/>
      <w:bookmarkStart w:id="63" w:name="_Toc458694821"/>
      <w:bookmarkStart w:id="64" w:name="_Toc20823276"/>
      <w:bookmarkStart w:id="65" w:name="_Toc513029204"/>
      <w:bookmarkStart w:id="66" w:name="_Toc16938520"/>
      <w:r>
        <w:rPr>
          <w:rFonts w:hint="eastAsia" w:ascii="仿宋" w:hAnsi="仿宋" w:eastAsia="仿宋" w:cs="仿宋"/>
          <w:b/>
          <w:bCs/>
          <w:color w:val="auto"/>
          <w:sz w:val="24"/>
          <w:highlight w:val="none"/>
        </w:rPr>
        <w:t>1</w:t>
      </w:r>
      <w:bookmarkEnd w:id="63"/>
      <w:r>
        <w:rPr>
          <w:rFonts w:hint="eastAsia" w:ascii="仿宋" w:hAnsi="仿宋" w:eastAsia="仿宋" w:cs="仿宋"/>
          <w:b/>
          <w:bCs/>
          <w:color w:val="auto"/>
          <w:sz w:val="24"/>
          <w:highlight w:val="none"/>
        </w:rPr>
        <w:t>、招标方式</w:t>
      </w:r>
      <w:bookmarkEnd w:id="64"/>
      <w:bookmarkEnd w:id="65"/>
      <w:bookmarkEnd w:id="66"/>
    </w:p>
    <w:p w14:paraId="62388037">
      <w:pPr>
        <w:spacing w:line="5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1.1 本次招标采取公开招标方式。</w:t>
      </w:r>
    </w:p>
    <w:p w14:paraId="76D2C9AD">
      <w:pPr>
        <w:spacing w:line="560" w:lineRule="exact"/>
        <w:ind w:firstLine="480"/>
        <w:rPr>
          <w:rFonts w:hint="eastAsia" w:ascii="仿宋" w:hAnsi="仿宋" w:eastAsia="仿宋" w:cs="仿宋"/>
          <w:b/>
          <w:bCs/>
          <w:color w:val="auto"/>
          <w:sz w:val="24"/>
          <w:highlight w:val="none"/>
        </w:rPr>
      </w:pPr>
      <w:bookmarkStart w:id="67" w:name="_Toc513029205"/>
      <w:bookmarkStart w:id="68" w:name="_Toc20823277"/>
      <w:bookmarkStart w:id="69" w:name="_Toc16938521"/>
      <w:r>
        <w:rPr>
          <w:rFonts w:hint="eastAsia" w:ascii="仿宋" w:hAnsi="仿宋" w:eastAsia="仿宋" w:cs="仿宋"/>
          <w:b/>
          <w:bCs/>
          <w:color w:val="auto"/>
          <w:sz w:val="24"/>
          <w:highlight w:val="none"/>
        </w:rPr>
        <w:t>2、合格的投标人</w:t>
      </w:r>
      <w:bookmarkEnd w:id="67"/>
      <w:bookmarkEnd w:id="68"/>
      <w:bookmarkEnd w:id="69"/>
    </w:p>
    <w:p w14:paraId="75E5B8EF">
      <w:pPr>
        <w:spacing w:line="5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2.1合格的投标人必须符合招标文件第一章《投标邀请》第二条及投标人须知前附表相关规定，且具备完成本项目的能力，中标后不允许转包。</w:t>
      </w:r>
    </w:p>
    <w:p w14:paraId="4959EDA1">
      <w:pPr>
        <w:spacing w:line="5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 满足本文件实质性要求和条件的规定。</w:t>
      </w:r>
    </w:p>
    <w:p w14:paraId="679A0B77">
      <w:pPr>
        <w:spacing w:line="560" w:lineRule="exact"/>
        <w:ind w:firstLine="480"/>
        <w:rPr>
          <w:rFonts w:hint="eastAsia" w:ascii="仿宋" w:hAnsi="仿宋" w:eastAsia="仿宋" w:cs="仿宋"/>
          <w:b/>
          <w:bCs/>
          <w:color w:val="auto"/>
          <w:sz w:val="24"/>
          <w:highlight w:val="none"/>
        </w:rPr>
      </w:pPr>
      <w:bookmarkStart w:id="70" w:name="_Toc16938522"/>
      <w:bookmarkStart w:id="71" w:name="_Toc513029206"/>
      <w:bookmarkStart w:id="72" w:name="_Toc20823278"/>
      <w:r>
        <w:rPr>
          <w:rFonts w:hint="eastAsia" w:ascii="仿宋" w:hAnsi="仿宋" w:eastAsia="仿宋" w:cs="仿宋"/>
          <w:b/>
          <w:bCs/>
          <w:color w:val="auto"/>
          <w:sz w:val="24"/>
          <w:highlight w:val="none"/>
        </w:rPr>
        <w:t>3、适用法律</w:t>
      </w:r>
      <w:bookmarkEnd w:id="70"/>
      <w:bookmarkEnd w:id="71"/>
      <w:bookmarkEnd w:id="72"/>
    </w:p>
    <w:p w14:paraId="6407720B">
      <w:pPr>
        <w:spacing w:line="5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本次招标及由此产生的合同受中华人民共和国有关的法律法规制约和保护。</w:t>
      </w:r>
    </w:p>
    <w:p w14:paraId="6199B93F">
      <w:pPr>
        <w:spacing w:line="560" w:lineRule="exact"/>
        <w:ind w:firstLine="480"/>
        <w:rPr>
          <w:rFonts w:hint="eastAsia" w:ascii="仿宋" w:hAnsi="仿宋" w:eastAsia="仿宋" w:cs="仿宋"/>
          <w:b/>
          <w:bCs/>
          <w:color w:val="auto"/>
          <w:sz w:val="24"/>
          <w:highlight w:val="none"/>
        </w:rPr>
      </w:pPr>
      <w:bookmarkStart w:id="73" w:name="_Toc16938523"/>
      <w:bookmarkStart w:id="74" w:name="_Toc513029207"/>
      <w:bookmarkStart w:id="75" w:name="_Toc20823279"/>
      <w:bookmarkStart w:id="76" w:name="_Toc462564067"/>
      <w:r>
        <w:rPr>
          <w:rFonts w:hint="eastAsia" w:ascii="仿宋" w:hAnsi="仿宋" w:eastAsia="仿宋" w:cs="仿宋"/>
          <w:b/>
          <w:bCs/>
          <w:color w:val="auto"/>
          <w:sz w:val="24"/>
          <w:highlight w:val="none"/>
        </w:rPr>
        <w:t>4、投标费用</w:t>
      </w:r>
      <w:bookmarkEnd w:id="73"/>
      <w:bookmarkEnd w:id="74"/>
      <w:bookmarkEnd w:id="75"/>
      <w:bookmarkEnd w:id="76"/>
    </w:p>
    <w:p w14:paraId="0D01BC72">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投标人应自行承担所有参加投标有关的费用。</w:t>
      </w:r>
    </w:p>
    <w:p w14:paraId="2AB563D3">
      <w:pPr>
        <w:spacing w:before="0" w:after="0" w:line="560" w:lineRule="exact"/>
        <w:ind w:firstLine="498"/>
        <w:rPr>
          <w:rFonts w:hint="eastAsia" w:ascii="仿宋" w:hAnsi="仿宋" w:eastAsia="仿宋" w:cs="仿宋"/>
          <w:b/>
          <w:bCs/>
          <w:color w:val="auto"/>
          <w:sz w:val="28"/>
          <w:szCs w:val="28"/>
          <w:highlight w:val="none"/>
        </w:rPr>
      </w:pPr>
      <w:bookmarkStart w:id="77" w:name="_Toc16938525"/>
      <w:bookmarkStart w:id="78" w:name="_Toc120614215"/>
      <w:bookmarkStart w:id="79" w:name="_Toc513029209"/>
      <w:bookmarkStart w:id="80" w:name="_Toc20823281"/>
      <w:r>
        <w:rPr>
          <w:rFonts w:hint="eastAsia" w:ascii="仿宋" w:hAnsi="仿宋" w:eastAsia="仿宋" w:cs="仿宋"/>
          <w:b/>
          <w:bCs/>
          <w:color w:val="auto"/>
          <w:sz w:val="28"/>
          <w:szCs w:val="28"/>
          <w:highlight w:val="none"/>
        </w:rPr>
        <w:t>二、招标文件</w:t>
      </w:r>
      <w:bookmarkEnd w:id="77"/>
      <w:bookmarkEnd w:id="78"/>
      <w:bookmarkEnd w:id="79"/>
      <w:bookmarkEnd w:id="80"/>
    </w:p>
    <w:p w14:paraId="5D5895BD">
      <w:pPr>
        <w:spacing w:line="560" w:lineRule="exact"/>
        <w:ind w:firstLine="480"/>
        <w:rPr>
          <w:rFonts w:hint="eastAsia" w:ascii="仿宋" w:hAnsi="仿宋" w:eastAsia="仿宋" w:cs="仿宋"/>
          <w:b/>
          <w:bCs/>
          <w:color w:val="auto"/>
          <w:sz w:val="24"/>
          <w:highlight w:val="none"/>
        </w:rPr>
      </w:pPr>
      <w:bookmarkStart w:id="81" w:name="_Toc20823282"/>
      <w:bookmarkStart w:id="82" w:name="_Toc513029210"/>
      <w:bookmarkStart w:id="83" w:name="_Toc16938526"/>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、招标文件构成</w:t>
      </w:r>
      <w:bookmarkEnd w:id="81"/>
      <w:bookmarkEnd w:id="82"/>
      <w:bookmarkEnd w:id="83"/>
    </w:p>
    <w:p w14:paraId="2E881162">
      <w:pPr>
        <w:spacing w:line="560" w:lineRule="exact"/>
        <w:ind w:firstLine="480"/>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.1</w:t>
      </w:r>
      <w:r>
        <w:rPr>
          <w:rFonts w:hint="eastAsia" w:ascii="仿宋" w:hAnsi="仿宋" w:eastAsia="仿宋" w:cs="仿宋"/>
          <w:color w:val="auto"/>
          <w:sz w:val="24"/>
          <w:highlight w:val="none"/>
        </w:rPr>
        <w:t xml:space="preserve"> 招标文件由以下部分组成：</w:t>
      </w:r>
    </w:p>
    <w:p w14:paraId="1386E673">
      <w:pPr>
        <w:spacing w:line="5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第一章：投标邀请；</w:t>
      </w:r>
    </w:p>
    <w:p w14:paraId="1D5F703B">
      <w:pPr>
        <w:spacing w:line="5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第二章：投标人须知；</w:t>
      </w:r>
    </w:p>
    <w:p w14:paraId="00E0FA93">
      <w:pPr>
        <w:spacing w:line="5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第三章：资格审查及评标办法；</w:t>
      </w:r>
    </w:p>
    <w:p w14:paraId="11FD1870">
      <w:pPr>
        <w:spacing w:line="5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第四章：采购需求；</w:t>
      </w:r>
    </w:p>
    <w:p w14:paraId="2C1A0EBD">
      <w:pPr>
        <w:spacing w:line="5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第五章：合同文本；</w:t>
      </w:r>
    </w:p>
    <w:p w14:paraId="496573A6">
      <w:pPr>
        <w:spacing w:line="5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第六章：投标文件格式。</w:t>
      </w:r>
    </w:p>
    <w:p w14:paraId="2FB4388B">
      <w:pPr>
        <w:spacing w:line="5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请仔细检查招标文件是否齐全，如有缺漏请立即与采购代理机构联系解决。</w:t>
      </w:r>
    </w:p>
    <w:p w14:paraId="23DE0E8D">
      <w:pPr>
        <w:spacing w:line="560" w:lineRule="exact"/>
        <w:ind w:firstLine="480"/>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530E25C">
      <w:pPr>
        <w:spacing w:line="560" w:lineRule="exact"/>
        <w:ind w:firstLine="480"/>
        <w:rPr>
          <w:rFonts w:hint="eastAsia" w:ascii="仿宋" w:hAnsi="仿宋" w:eastAsia="仿宋" w:cs="仿宋"/>
          <w:b/>
          <w:bCs/>
          <w:color w:val="auto"/>
          <w:sz w:val="24"/>
          <w:highlight w:val="none"/>
          <w:lang w:val="en-US" w:eastAsia="zh-CN"/>
        </w:rPr>
      </w:pPr>
      <w:bookmarkStart w:id="84" w:name="_Toc462564070"/>
      <w:bookmarkStart w:id="85" w:name="_Toc20823283"/>
      <w:bookmarkStart w:id="86" w:name="_Toc16938527"/>
      <w:bookmarkStart w:id="87" w:name="_Toc513029211"/>
      <w:r>
        <w:rPr>
          <w:rFonts w:hint="eastAsia" w:ascii="仿宋" w:hAnsi="仿宋" w:eastAsia="仿宋" w:cs="仿宋"/>
          <w:b/>
          <w:bCs/>
          <w:color w:val="auto"/>
          <w:sz w:val="24"/>
          <w:highlight w:val="none"/>
          <w:lang w:val="en-US" w:eastAsia="zh-CN"/>
        </w:rPr>
        <w:t>6、政府采购政策功能落实</w:t>
      </w:r>
    </w:p>
    <w:p w14:paraId="32C2C23D">
      <w:pPr>
        <w:spacing w:line="480" w:lineRule="exact"/>
        <w:ind w:firstLine="482"/>
        <w:rPr>
          <w:rFonts w:hint="eastAsia" w:ascii="仿宋" w:hAnsi="仿宋" w:eastAsia="仿宋" w:cs="仿宋"/>
          <w:b/>
          <w:bCs/>
          <w:color w:val="auto"/>
          <w:sz w:val="24"/>
          <w:highlight w:val="none"/>
          <w:u w:val="single"/>
          <w:lang w:val="en-US" w:eastAsia="zh-CN"/>
        </w:rPr>
      </w:pPr>
      <w:r>
        <w:rPr>
          <w:rFonts w:hint="eastAsia" w:ascii="仿宋" w:hAnsi="仿宋" w:eastAsia="仿宋" w:cs="仿宋"/>
          <w:b/>
          <w:bCs/>
          <w:color w:val="auto"/>
          <w:sz w:val="24"/>
          <w:highlight w:val="none"/>
        </w:rPr>
        <w:t>本项目落实的政府采购政策对应序号为</w:t>
      </w:r>
      <w:r>
        <w:rPr>
          <w:rFonts w:hint="eastAsia" w:ascii="仿宋" w:hAnsi="仿宋" w:eastAsia="仿宋" w:cs="仿宋"/>
          <w:b/>
          <w:bCs/>
          <w:color w:val="auto"/>
          <w:sz w:val="24"/>
          <w:highlight w:val="none"/>
          <w:u w:val="single"/>
        </w:rPr>
        <w:t xml:space="preserve">   6.1</w:t>
      </w:r>
      <w:r>
        <w:rPr>
          <w:rFonts w:hint="eastAsia" w:ascii="仿宋" w:hAnsi="仿宋" w:eastAsia="仿宋" w:cs="仿宋"/>
          <w:b/>
          <w:bCs/>
          <w:color w:val="auto"/>
          <w:sz w:val="24"/>
          <w:highlight w:val="none"/>
          <w:u w:val="single"/>
          <w:lang w:val="en-US" w:eastAsia="zh-CN"/>
        </w:rPr>
        <w:t xml:space="preserve">    </w:t>
      </w:r>
    </w:p>
    <w:p w14:paraId="3635042B">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6.1中小企业政策</w:t>
      </w:r>
    </w:p>
    <w:p w14:paraId="03518FBA">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本项目按第</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种政策落实：</w:t>
      </w:r>
    </w:p>
    <w:p w14:paraId="290A6474">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（1）本项目专门面向中小企业（含监狱与戒毒企业、残疾人福利企业）采购。</w:t>
      </w:r>
    </w:p>
    <w:p w14:paraId="361C2462">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（2）对符合规定情形的小微企业报价给予</w:t>
      </w:r>
      <w:r>
        <w:rPr>
          <w:rFonts w:hint="eastAsia" w:ascii="仿宋" w:hAnsi="仿宋" w:eastAsia="仿宋" w:cs="仿宋"/>
          <w:color w:val="auto"/>
          <w:sz w:val="24"/>
          <w:highlight w:val="none"/>
          <w:u w:val="single"/>
        </w:rPr>
        <w:t>1</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扣除，用扣除后的价格参加评审。</w:t>
      </w:r>
    </w:p>
    <w:p w14:paraId="002E56ED">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在货物采购项目中，货物由中小企业制造，即货物由中小企业生产且使用该中小企业商号或者注册商标。</w:t>
      </w:r>
    </w:p>
    <w:p w14:paraId="715A988B">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注：①参加投标的中小企业，应当按照《政府采购促进中小企业发展管理办法》（财库〔2020〕46号）规定，出具《中小企业声明函》，中小企业划型依据《关于印发中小企业划型标准规定的通知》（工信部联企业〔2011〕300号）。</w:t>
      </w:r>
    </w:p>
    <w:p w14:paraId="790F14CF">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555509A2">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7813CA55">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④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s="仿宋"/>
          <w:color w:val="auto"/>
          <w:sz w:val="24"/>
          <w:highlight w:val="none"/>
          <w:u w:val="single"/>
        </w:rPr>
        <w:t>5</w:t>
      </w:r>
      <w:r>
        <w:rPr>
          <w:rFonts w:hint="eastAsia" w:ascii="仿宋" w:hAnsi="仿宋" w:eastAsia="仿宋" w:cs="仿宋"/>
          <w:color w:val="auto"/>
          <w:sz w:val="24"/>
          <w:highlight w:val="none"/>
        </w:rPr>
        <w:t>%（工程项目为</w:t>
      </w:r>
      <w:r>
        <w:rPr>
          <w:rFonts w:hint="eastAsia" w:ascii="仿宋" w:hAnsi="仿宋" w:eastAsia="仿宋" w:cs="仿宋"/>
          <w:color w:val="auto"/>
          <w:sz w:val="24"/>
          <w:highlight w:val="none"/>
          <w:u w:val="single"/>
        </w:rPr>
        <w:t>2</w:t>
      </w:r>
      <w:r>
        <w:rPr>
          <w:rFonts w:hint="eastAsia" w:ascii="仿宋" w:hAnsi="仿宋" w:eastAsia="仿宋" w:cs="仿宋"/>
          <w:color w:val="auto"/>
          <w:sz w:val="24"/>
          <w:highlight w:val="none"/>
        </w:rPr>
        <w:t>%）的扣除，用扣除后的价格参加评审。（是否接受联合体以“项目基本情况”相关内容为准，是否允许大中型企业向一家或者多家小微企业分包以“须知前附表”、“采购需求”相关内容为准。）</w:t>
      </w:r>
    </w:p>
    <w:p w14:paraId="76E7C125">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⑤联合体各方均为小型、微型企业（残疾人福利单位、监狱企业）的，联合体享受15%价格扣除，用扣除后的价格参与评审。</w:t>
      </w:r>
    </w:p>
    <w:p w14:paraId="79E4AF13">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6.2节能产品、环境标志产品</w:t>
      </w:r>
    </w:p>
    <w:p w14:paraId="338197A1">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拟采购的产品属于品目清单范围的，采购人将依据国家确定的认证机构出具的、处于有效期之内的节能产品、环境标志产品认证证书，对获得证书的产品实施政府优先采购或强制采购。</w:t>
      </w:r>
    </w:p>
    <w:p w14:paraId="2C6A11B1">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6.2.1拟采购的产品属于政府强制采购的节能产品品目清单范围的，投标人须提供国家确定的认证机构出具的、处于有效期之内的节能产品认证证书，否则其投标文件作无效标处理。</w:t>
      </w:r>
    </w:p>
    <w:p w14:paraId="6CC4788D">
      <w:pPr>
        <w:keepNext w:val="0"/>
        <w:keepLines w:val="0"/>
        <w:pageBreakBefore w:val="0"/>
        <w:widowControl w:val="0"/>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采购人拟采购的产品属于优先采购的节能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环境标志产品</w:t>
      </w:r>
      <w:r>
        <w:rPr>
          <w:rFonts w:hint="eastAsia" w:ascii="仿宋" w:hAnsi="仿宋" w:eastAsia="仿宋" w:cs="仿宋"/>
          <w:color w:val="auto"/>
          <w:sz w:val="24"/>
          <w:highlight w:val="none"/>
        </w:rPr>
        <w:t>品目清单范围的，按以下条件优先采购：</w:t>
      </w:r>
    </w:p>
    <w:p w14:paraId="0B1AA2B0">
      <w:pPr>
        <w:keepNext w:val="0"/>
        <w:keepLines w:val="0"/>
        <w:pageBreakBefore w:val="0"/>
        <w:widowControl w:val="0"/>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采用综合评分法的项目，对提供有效节能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环境标志产品认证</w:t>
      </w:r>
      <w:r>
        <w:rPr>
          <w:rFonts w:hint="eastAsia" w:ascii="仿宋" w:hAnsi="仿宋" w:eastAsia="仿宋" w:cs="仿宋"/>
          <w:color w:val="auto"/>
          <w:sz w:val="24"/>
          <w:highlight w:val="none"/>
        </w:rPr>
        <w:t>证书的投标人加分。</w:t>
      </w:r>
    </w:p>
    <w:p w14:paraId="55B1BB4A">
      <w:pPr>
        <w:keepNext w:val="0"/>
        <w:keepLines w:val="0"/>
        <w:pageBreakBefore w:val="0"/>
        <w:widowControl w:val="0"/>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采用最低评标价法的项目，同等条件下优先推荐提供有效节能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环境标志产品认证</w:t>
      </w:r>
      <w:r>
        <w:rPr>
          <w:rFonts w:hint="eastAsia" w:ascii="仿宋" w:hAnsi="仿宋" w:eastAsia="仿宋" w:cs="仿宋"/>
          <w:color w:val="auto"/>
          <w:sz w:val="24"/>
          <w:highlight w:val="none"/>
        </w:rPr>
        <w:t>证书多的投标人为中标人。</w:t>
      </w:r>
    </w:p>
    <w:p w14:paraId="59CCD59A">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6.3政府采购需求标准</w:t>
      </w:r>
    </w:p>
    <w:p w14:paraId="01C379BD">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6.3.1商品包装、快递包装政府采购需求标准（试行）</w:t>
      </w:r>
    </w:p>
    <w:p w14:paraId="3DBAB50F">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按照财政部印发的《商品包装政府采购需求标准（试行）》《快递包装政府采购需求标准（试行）》要求执行，本项目商品包装和快递包装的具体需求详见第四章采购需求。</w:t>
      </w:r>
    </w:p>
    <w:p w14:paraId="0D9B28A3">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6.3.2绿色数据中心政府采购需求标准（试行）</w:t>
      </w:r>
    </w:p>
    <w:p w14:paraId="5AF553E0">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按照财政部 生态环境部 工业和信息化部关于印发《绿色数据中心政府采购需求标准（试行）》的通知）要求执行，本项目绿色数据中心的具体需求详见第四章采购需求。</w:t>
      </w:r>
    </w:p>
    <w:p w14:paraId="5E86F22A">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6.3.3绿色建材政府采购需求标准</w:t>
      </w:r>
    </w:p>
    <w:p w14:paraId="08753011">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按照财政部 住房和城乡建设部 工业和信息化部关于印发《关于扩大政府采购支持绿色建材促进建筑品质提升政策实施范围的通知》要求执行，本项目绿色建材的具体需求详见第四章采购需求。</w:t>
      </w:r>
    </w:p>
    <w:p w14:paraId="7F9C4573">
      <w:pPr>
        <w:spacing w:line="480" w:lineRule="exact"/>
        <w:ind w:firstLine="480"/>
        <w:rPr>
          <w:rFonts w:hint="eastAsia" w:ascii="仿宋" w:hAnsi="仿宋" w:eastAsia="仿宋" w:cs="仿宋"/>
          <w:b w:val="0"/>
          <w:bCs w:val="0"/>
          <w:color w:val="auto"/>
          <w:highlight w:val="none"/>
        </w:rPr>
      </w:pPr>
      <w:r>
        <w:rPr>
          <w:rFonts w:hint="eastAsia" w:ascii="仿宋" w:hAnsi="仿宋" w:eastAsia="仿宋" w:cs="仿宋"/>
          <w:color w:val="auto"/>
          <w:sz w:val="24"/>
          <w:highlight w:val="none"/>
        </w:rPr>
        <w:t>6.4采购产品中涉及涂料、胶黏剂、油墨、清洗剂等挥发性有机物产品的，属于强制性标准的，供应商应当提供符合国家和江苏省相关VOCs 含量限制标准的产品。采购产品中涉及通用类货物、家具的，供应商应当优先使用低挥发性原辅材料，采购人将使用低VOCs含量的涂料、胶黏剂等纳入政府采购合同条款的，供应商必须严格执行。</w:t>
      </w:r>
    </w:p>
    <w:p w14:paraId="37DCCE9C">
      <w:pPr>
        <w:spacing w:line="560" w:lineRule="exact"/>
        <w:ind w:firstLine="48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7、招标文件的澄清</w:t>
      </w:r>
      <w:bookmarkEnd w:id="84"/>
      <w:bookmarkEnd w:id="85"/>
      <w:bookmarkEnd w:id="86"/>
      <w:bookmarkEnd w:id="87"/>
      <w:r>
        <w:rPr>
          <w:rFonts w:hint="eastAsia" w:ascii="仿宋" w:hAnsi="仿宋" w:eastAsia="仿宋" w:cs="仿宋"/>
          <w:b/>
          <w:bCs/>
          <w:color w:val="auto"/>
          <w:sz w:val="24"/>
          <w:highlight w:val="none"/>
          <w:lang w:val="en-US" w:eastAsia="zh-CN"/>
        </w:rPr>
        <w:t>或修改</w:t>
      </w:r>
    </w:p>
    <w:p w14:paraId="023DC64E">
      <w:pPr>
        <w:spacing w:line="480" w:lineRule="exact"/>
        <w:ind w:firstLine="480"/>
        <w:rPr>
          <w:rFonts w:hint="eastAsia" w:ascii="仿宋" w:hAnsi="仿宋" w:eastAsia="仿宋" w:cs="仿宋"/>
          <w:color w:val="auto"/>
          <w:sz w:val="24"/>
          <w:highlight w:val="none"/>
        </w:rPr>
      </w:pPr>
      <w:bookmarkStart w:id="88" w:name="_Toc20823284"/>
      <w:bookmarkStart w:id="89" w:name="_Toc462564071"/>
      <w:bookmarkStart w:id="90" w:name="_Toc16938528"/>
      <w:bookmarkStart w:id="91" w:name="_Toc513029212"/>
      <w:r>
        <w:rPr>
          <w:rFonts w:hint="eastAsia" w:ascii="仿宋" w:hAnsi="仿宋" w:eastAsia="仿宋" w:cs="仿宋"/>
          <w:color w:val="auto"/>
          <w:sz w:val="24"/>
          <w:highlight w:val="none"/>
        </w:rPr>
        <w:t>7.1采购人或者采购代理机构可以以更正公告的形式，对已发出的招标文件进行必要的澄清或者修改。澄清或者修改的内容可能影响投标文件编制的，采购人或者采购代理机构应当在投标截止时间前15日前发出；不足15日的，采购人、采购代理机构应当顺延提交投标文件的截止时间。</w:t>
      </w:r>
    </w:p>
    <w:p w14:paraId="6BA81792">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7.2招标文件的澄清、修改将在原公告媒体上发布更正公告，澄清、修改文件均作为招标文件的组成部分，并对投标人具有约束力。</w:t>
      </w:r>
    </w:p>
    <w:p w14:paraId="253EF401">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7.3投标人应及时登录“苏采云”系统获取澄清答疑文件（修改后的招标文件），如投标人未能及时下载澄清答疑文件，造成的相关责任由投标人承担。</w:t>
      </w:r>
    </w:p>
    <w:bookmarkEnd w:id="88"/>
    <w:bookmarkEnd w:id="89"/>
    <w:bookmarkEnd w:id="90"/>
    <w:bookmarkEnd w:id="91"/>
    <w:p w14:paraId="2E46EE42">
      <w:pPr>
        <w:spacing w:before="0" w:after="0" w:line="560" w:lineRule="exact"/>
        <w:ind w:firstLine="498"/>
        <w:rPr>
          <w:rFonts w:hint="eastAsia" w:ascii="仿宋" w:hAnsi="仿宋" w:eastAsia="仿宋" w:cs="仿宋"/>
          <w:b/>
          <w:bCs/>
          <w:color w:val="auto"/>
          <w:sz w:val="28"/>
          <w:szCs w:val="28"/>
          <w:highlight w:val="none"/>
        </w:rPr>
      </w:pPr>
      <w:bookmarkStart w:id="92" w:name="_Toc120614216"/>
      <w:bookmarkStart w:id="93" w:name="_Toc462564072"/>
      <w:bookmarkStart w:id="94" w:name="_Toc20823285"/>
      <w:bookmarkStart w:id="95" w:name="_Toc16938529"/>
      <w:bookmarkStart w:id="96" w:name="_Toc513029213"/>
      <w:r>
        <w:rPr>
          <w:rFonts w:hint="eastAsia" w:ascii="仿宋" w:hAnsi="仿宋" w:eastAsia="仿宋" w:cs="仿宋"/>
          <w:b/>
          <w:bCs/>
          <w:color w:val="auto"/>
          <w:sz w:val="28"/>
          <w:szCs w:val="28"/>
          <w:highlight w:val="none"/>
        </w:rPr>
        <w:t>三、投标文件的编制</w:t>
      </w:r>
      <w:bookmarkEnd w:id="92"/>
      <w:bookmarkEnd w:id="93"/>
      <w:bookmarkEnd w:id="94"/>
      <w:bookmarkEnd w:id="95"/>
      <w:bookmarkEnd w:id="96"/>
    </w:p>
    <w:p w14:paraId="5A2A7369">
      <w:pPr>
        <w:spacing w:line="560" w:lineRule="exact"/>
        <w:ind w:firstLine="480"/>
        <w:rPr>
          <w:rFonts w:hint="eastAsia" w:ascii="仿宋" w:hAnsi="仿宋" w:eastAsia="仿宋" w:cs="仿宋"/>
          <w:b/>
          <w:bCs/>
          <w:color w:val="auto"/>
          <w:sz w:val="24"/>
          <w:highlight w:val="none"/>
          <w:lang w:val="en-US" w:eastAsia="zh-CN"/>
        </w:rPr>
      </w:pPr>
      <w:bookmarkStart w:id="97" w:name="_Hlt26954852"/>
      <w:bookmarkEnd w:id="97"/>
      <w:bookmarkStart w:id="98" w:name="_Hlt26954739"/>
      <w:bookmarkEnd w:id="98"/>
      <w:bookmarkStart w:id="99" w:name="_Toc20823296"/>
      <w:bookmarkStart w:id="100" w:name="_Toc120614217"/>
      <w:bookmarkStart w:id="101" w:name="_Toc513029224"/>
      <w:bookmarkStart w:id="102" w:name="_Toc16938540"/>
      <w:r>
        <w:rPr>
          <w:rFonts w:hint="eastAsia" w:ascii="仿宋" w:hAnsi="仿宋" w:eastAsia="仿宋" w:cs="仿宋"/>
          <w:b/>
          <w:bCs/>
          <w:color w:val="auto"/>
          <w:sz w:val="24"/>
          <w:highlight w:val="none"/>
          <w:lang w:val="en-US" w:eastAsia="zh-CN"/>
        </w:rPr>
        <w:t>8、投标文件的编制要求</w:t>
      </w:r>
    </w:p>
    <w:p w14:paraId="6B3D389C">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8.1投标人应仔细阅读“招标文件”的所有内容，保证所提供的全部资料的真实性、完整性及有效性，以使其投标对“招标文件”作出实质性响应。</w:t>
      </w:r>
    </w:p>
    <w:p w14:paraId="4E7AA275">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8.2投标文件要求加盖电子签章之处，应按要求加盖投标人数字证书的电子签章。其他需要盖章但未明确要求电子签章的，投标人可按要求加盖公章后上传材料电子件或直接加盖电子签章。</w:t>
      </w:r>
    </w:p>
    <w:p w14:paraId="1B504660">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8.3本项目通过“苏采云”系统进行电子投标，投标人使用政府采购客户端工具制作并通过“苏采云”系统提交投标文件，如标书制作工具中格式、内容与“江苏政府采购网”“宿迁市政府采购网”发布的采购文件不一致的，以“江苏政府采购网”“宿迁市政府采购网”发布的采购文件为准。</w:t>
      </w:r>
    </w:p>
    <w:p w14:paraId="3958DE9F">
      <w:pPr>
        <w:spacing w:line="560" w:lineRule="exact"/>
        <w:ind w:firstLine="48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9、投标文件构成</w:t>
      </w:r>
    </w:p>
    <w:p w14:paraId="619F5C0C">
      <w:pPr>
        <w:spacing w:line="480" w:lineRule="exact"/>
        <w:ind w:firstLine="480"/>
        <w:rPr>
          <w:rFonts w:hint="eastAsia" w:ascii="仿宋" w:hAnsi="仿宋" w:eastAsia="仿宋" w:cs="仿宋"/>
          <w:bCs/>
          <w:color w:val="auto"/>
          <w:sz w:val="24"/>
          <w:highlight w:val="none"/>
        </w:rPr>
      </w:pPr>
      <w:r>
        <w:rPr>
          <w:rFonts w:hint="eastAsia" w:ascii="仿宋" w:hAnsi="仿宋" w:eastAsia="仿宋" w:cs="仿宋"/>
          <w:color w:val="auto"/>
          <w:sz w:val="24"/>
          <w:highlight w:val="none"/>
        </w:rPr>
        <w:t>9.1投标文件包括资格证明文件、开标一览表、分项报价表、响应及偏离表、投标函、其他证明文件等部分。</w:t>
      </w:r>
      <w:r>
        <w:rPr>
          <w:rFonts w:hint="eastAsia" w:ascii="仿宋" w:hAnsi="仿宋" w:eastAsia="仿宋" w:cs="仿宋"/>
          <w:bCs/>
          <w:color w:val="auto"/>
          <w:sz w:val="24"/>
          <w:highlight w:val="none"/>
        </w:rPr>
        <w:t>投标文件构成资料为非中文时应提供中文译版。</w:t>
      </w:r>
      <w:bookmarkStart w:id="103" w:name="EBc50e2bb832bb43068403b10c1cce6141"/>
    </w:p>
    <w:p w14:paraId="78CE88DD">
      <w:pPr>
        <w:spacing w:line="480" w:lineRule="exact"/>
        <w:ind w:firstLine="482"/>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9.2招标文件要求提供证书证件等原件电子件的，投标人提供的电子件应是对证书证件等原件通过扫描、拍照等方式进行数字化的可被“苏采云”系统识别的数字文件，否则评标委员会可以视其未提供。无论何种原因，即使投标人开标时携带了证书证明资料的原件，但电子投标文件中未包含相关资料电子件的，评标委员会可以视同其未提供。</w:t>
      </w:r>
      <w:bookmarkEnd w:id="103"/>
    </w:p>
    <w:p w14:paraId="5AF0F203">
      <w:pPr>
        <w:spacing w:line="560" w:lineRule="exact"/>
        <w:ind w:firstLine="48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10、投标报价</w:t>
      </w:r>
    </w:p>
    <w:p w14:paraId="78E25025">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10.1报价为一次报价，本项目不接受备选的投标方案或有选择的报价，只允许有一个报价。</w:t>
      </w:r>
    </w:p>
    <w:p w14:paraId="31F37AF0">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10.2报价注意事项：投标价格一律以人民币计算，以元为单位标注，最多保留至小数点后两位，招标文件有规定的按招标文件执行。</w:t>
      </w:r>
    </w:p>
    <w:p w14:paraId="14F99929">
      <w:pPr>
        <w:spacing w:line="560" w:lineRule="exact"/>
        <w:ind w:firstLine="48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11、投标保证金</w:t>
      </w:r>
      <w:bookmarkStart w:id="104" w:name="EB183a0bf075204c54a4ff090f1aecaaa7"/>
    </w:p>
    <w:p w14:paraId="71295A2E">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本项目不收取投标保证金。</w:t>
      </w:r>
      <w:bookmarkEnd w:id="104"/>
    </w:p>
    <w:p w14:paraId="6069CD92">
      <w:pPr>
        <w:spacing w:line="560" w:lineRule="exact"/>
        <w:ind w:firstLine="48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12、投标有效期</w:t>
      </w:r>
    </w:p>
    <w:p w14:paraId="6AFB4A31">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12.1在投标人须知前附表规定的投标有效期内，投标有效期从提交投标文件的截止之日起算。投标有效期比规定短的将被视为未实质性响应招标文件。</w:t>
      </w:r>
    </w:p>
    <w:p w14:paraId="3BA4E680">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12.2特殊情况需延长投标有效期的，采购代理机构可于投标有效期届满之前，要求投标人同意延长有效期，可向投标人提出延长投标有效期的要求，采购代理机构的要求与投标人的答复均应为书面形式（如信件、传真或电报等），投标人拒绝延长的，其投标在原投标有效期届满后将不再有效；投标人同意延长的，不允许修改或撤回投标文件。</w:t>
      </w:r>
    </w:p>
    <w:p w14:paraId="242454FF">
      <w:pPr>
        <w:spacing w:before="0" w:after="0" w:line="560" w:lineRule="exact"/>
        <w:ind w:firstLine="498"/>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四、投标文件的</w:t>
      </w:r>
      <w:r>
        <w:rPr>
          <w:rFonts w:hint="eastAsia" w:ascii="仿宋" w:hAnsi="仿宋" w:eastAsia="仿宋" w:cs="仿宋"/>
          <w:b/>
          <w:bCs/>
          <w:color w:val="auto"/>
          <w:sz w:val="28"/>
          <w:szCs w:val="28"/>
          <w:highlight w:val="none"/>
          <w:lang w:val="en-US" w:eastAsia="zh-CN"/>
        </w:rPr>
        <w:t>提</w:t>
      </w:r>
      <w:r>
        <w:rPr>
          <w:rFonts w:hint="eastAsia" w:ascii="仿宋" w:hAnsi="仿宋" w:eastAsia="仿宋" w:cs="仿宋"/>
          <w:b/>
          <w:bCs/>
          <w:color w:val="auto"/>
          <w:sz w:val="28"/>
          <w:szCs w:val="28"/>
          <w:highlight w:val="none"/>
        </w:rPr>
        <w:t>交</w:t>
      </w:r>
      <w:bookmarkEnd w:id="99"/>
      <w:bookmarkEnd w:id="100"/>
      <w:bookmarkEnd w:id="101"/>
      <w:bookmarkEnd w:id="102"/>
    </w:p>
    <w:p w14:paraId="174941D6">
      <w:pPr>
        <w:spacing w:line="480" w:lineRule="exact"/>
        <w:ind w:firstLine="482"/>
        <w:rPr>
          <w:rFonts w:hint="eastAsia" w:ascii="仿宋" w:hAnsi="仿宋" w:eastAsia="仿宋" w:cs="仿宋"/>
          <w:b/>
          <w:color w:val="auto"/>
          <w:sz w:val="24"/>
          <w:highlight w:val="none"/>
        </w:rPr>
      </w:pPr>
      <w:bookmarkStart w:id="105" w:name="_Toc513029229"/>
      <w:bookmarkStart w:id="106" w:name="_Toc16938545"/>
      <w:bookmarkStart w:id="107" w:name="_Toc20823301"/>
      <w:bookmarkStart w:id="108" w:name="_Toc120614218"/>
      <w:r>
        <w:rPr>
          <w:rFonts w:hint="eastAsia" w:ascii="仿宋" w:hAnsi="仿宋" w:eastAsia="仿宋" w:cs="仿宋"/>
          <w:b/>
          <w:color w:val="auto"/>
          <w:sz w:val="24"/>
          <w:highlight w:val="none"/>
        </w:rPr>
        <w:t>13、投标文件的提交</w:t>
      </w:r>
    </w:p>
    <w:p w14:paraId="55EB24C5">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13.1投标人应在招标文件规定的投标截止时间前提交投标文件并将电子投标文件上传至“苏采云”系统对应的本次开标采购包中。除招标文件另有规定外，投标人所提交的投标文件不予退还。</w:t>
      </w:r>
    </w:p>
    <w:p w14:paraId="0DF0BE59">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13.2投标文件的修改和撤回：在投标截止时间前，投标人可以撤回或重新提交投标文件。投标文件以最终完成上传的为准。</w:t>
      </w:r>
    </w:p>
    <w:p w14:paraId="0CBF136E">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13.3采购人、采购代理机构可以通过修改招标文件酌情延长投标文件接收截止日期，在此情况下，投标人的所有权利和义务以及投标人受制约的截止日期均应以延长后新的截止日期为准。</w:t>
      </w:r>
    </w:p>
    <w:p w14:paraId="41B28EE7">
      <w:pPr>
        <w:spacing w:line="48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14、投标文件被拒绝接收的情形</w:t>
      </w:r>
    </w:p>
    <w:p w14:paraId="23891EFB">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在招标文件规定的投标截止时间后上传的投标文件或对投标报价或其他实质性内容修正的文件。</w:t>
      </w:r>
    </w:p>
    <w:bookmarkEnd w:id="105"/>
    <w:bookmarkEnd w:id="106"/>
    <w:bookmarkEnd w:id="107"/>
    <w:bookmarkEnd w:id="108"/>
    <w:p w14:paraId="41D0A40F">
      <w:pPr>
        <w:spacing w:before="0" w:after="0" w:line="560" w:lineRule="exact"/>
        <w:ind w:firstLine="498"/>
        <w:rPr>
          <w:rFonts w:hint="eastAsia" w:ascii="仿宋" w:hAnsi="仿宋" w:eastAsia="仿宋" w:cs="仿宋"/>
          <w:b/>
          <w:bCs/>
          <w:color w:val="auto"/>
          <w:sz w:val="28"/>
          <w:szCs w:val="28"/>
          <w:highlight w:val="none"/>
        </w:rPr>
      </w:pPr>
      <w:bookmarkStart w:id="109" w:name="_Toc959"/>
      <w:bookmarkStart w:id="110" w:name="_Toc81575197"/>
      <w:bookmarkStart w:id="111" w:name="_Toc81575160"/>
      <w:bookmarkStart w:id="112" w:name="_Toc20026"/>
      <w:bookmarkStart w:id="113" w:name="_Toc20293"/>
      <w:bookmarkStart w:id="114" w:name="_Toc5696"/>
      <w:bookmarkStart w:id="115" w:name="_Toc10270"/>
      <w:bookmarkStart w:id="116" w:name="_Toc2621"/>
      <w:bookmarkStart w:id="117" w:name="_Hlt16619350"/>
      <w:bookmarkStart w:id="118" w:name="_Toc20823346"/>
      <w:bookmarkStart w:id="119" w:name="_Toc16938590"/>
      <w:bookmarkStart w:id="120" w:name="_Toc120614244"/>
      <w:bookmarkStart w:id="121" w:name="_Toc479757211"/>
      <w:bookmarkStart w:id="122" w:name="_Toc462564139"/>
      <w:r>
        <w:rPr>
          <w:rFonts w:hint="eastAsia" w:ascii="仿宋" w:hAnsi="仿宋" w:eastAsia="仿宋" w:cs="仿宋"/>
          <w:b/>
          <w:bCs/>
          <w:color w:val="auto"/>
          <w:sz w:val="28"/>
          <w:szCs w:val="28"/>
          <w:highlight w:val="none"/>
        </w:rPr>
        <w:t>五、开标、评标程序</w:t>
      </w:r>
      <w:bookmarkEnd w:id="109"/>
      <w:bookmarkEnd w:id="110"/>
      <w:bookmarkEnd w:id="111"/>
      <w:bookmarkEnd w:id="112"/>
    </w:p>
    <w:p w14:paraId="2627CED7">
      <w:pPr>
        <w:spacing w:line="48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15、开标</w:t>
      </w:r>
    </w:p>
    <w:p w14:paraId="44376A1C">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15.1采购代理机构将在招标公告中规定的时间和地点组织公开开标。投标人应当按照《操作手册》规定，参加开标活动，在“苏采云”系统规定的时间内对投标文件解密。</w:t>
      </w:r>
    </w:p>
    <w:p w14:paraId="55D5D117">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15.2开标仪式由采购代理机构组织。“苏采云”系统将自动对项目进行开标，并宣布各投标人名称和投标价格。</w:t>
      </w:r>
    </w:p>
    <w:p w14:paraId="7693EF17">
      <w:pPr>
        <w:spacing w:line="480" w:lineRule="exact"/>
        <w:ind w:firstLine="48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15.3投标人用于解密的CA证书应为该投标文件生成加密、上传的同一把CA证书。投标人应登录“苏采云”系统进入“开标大厅”，在系统约定时间内使用CA证书解密，未成功解密的视为放弃投标。</w:t>
      </w:r>
    </w:p>
    <w:p w14:paraId="6ED470F7">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15.4投标人如果对开标过程和开标记录有疑义，应当根据《操作手册》规定提出。如“苏采云”系统中《开标记录表》宣布后5分钟内未提出的，视同认可开标结果。</w:t>
      </w:r>
    </w:p>
    <w:p w14:paraId="1AED55EB">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15.5投标人在开、评标全过程中应保持通讯畅通，及时登录“苏采云”系统查阅、答复相关信息。</w:t>
      </w:r>
    </w:p>
    <w:p w14:paraId="3730D40F">
      <w:pPr>
        <w:spacing w:line="48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16、评标委员会</w:t>
      </w:r>
    </w:p>
    <w:p w14:paraId="71A80009">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应根据本项目的特点依法组建评标委员会，评标委员会由采购人代表和有关技术、经济等方面的专家组成，且人员构成符合政府采购有关规定。评标委员会负责具体评标事务，按公平、公正、客观、择优的原则独立履行相关职责。</w:t>
      </w:r>
    </w:p>
    <w:p w14:paraId="3DA15F37">
      <w:pPr>
        <w:spacing w:line="48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17、评标程序</w:t>
      </w:r>
    </w:p>
    <w:p w14:paraId="1C555327">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17.1资格审查</w:t>
      </w:r>
      <w:bookmarkStart w:id="123" w:name="EBa9c0a2c9e523494487594c65b2a92370"/>
    </w:p>
    <w:p w14:paraId="4D309E37">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开标结束后，采购人依法根据招标文件的规定对投标人的资格证明文件等进行审查。</w:t>
      </w:r>
      <w:bookmarkEnd w:id="123"/>
    </w:p>
    <w:p w14:paraId="6C4F8CE2">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17.2符合性检查</w:t>
      </w:r>
    </w:p>
    <w:p w14:paraId="3AE4A529">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17.2.1依据招标文件的规定，由评标委员会从投标文件的有效性、完整性和对招标文件的响应程度进行审查，以确定是否对招标文件的实质性要求作出响应。</w:t>
      </w:r>
    </w:p>
    <w:p w14:paraId="1AEDB9E8">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17.2.2在详细评标之前，评标委员会将首先审查每份投标文件是否实质性响应了招标文件的要求。实质性响应的投标应是与招标文件要求的全部条款、条件和规格相符，没有重大偏离的投标。</w:t>
      </w:r>
      <w:bookmarkStart w:id="124" w:name="EB1499356fad43416eb16398733accabf7"/>
      <w:r>
        <w:rPr>
          <w:rFonts w:hint="eastAsia" w:ascii="仿宋" w:hAnsi="仿宋" w:eastAsia="仿宋" w:cs="仿宋"/>
          <w:color w:val="auto"/>
          <w:sz w:val="24"/>
          <w:highlight w:val="none"/>
        </w:rPr>
        <w:t>所谓重大偏离是指投标人投标文件中所述设备质量、技术规格、数量、交货期、服务等明显不能满足招标文件要求。</w:t>
      </w:r>
      <w:bookmarkEnd w:id="124"/>
      <w:r>
        <w:rPr>
          <w:rFonts w:hint="eastAsia" w:ascii="仿宋" w:hAnsi="仿宋" w:eastAsia="仿宋" w:cs="仿宋"/>
          <w:color w:val="auto"/>
          <w:sz w:val="24"/>
          <w:highlight w:val="none"/>
        </w:rPr>
        <w:t>重大偏离的认定需经过评标委员会以少数服从多数的原则作出结论。</w:t>
      </w:r>
    </w:p>
    <w:p w14:paraId="3C1BFE13">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17.3未通过资格审查或符合性审查的投标人，采购代理机构将在“苏采云”系统中告知未通过资格审查或符合性审查的原因，评标结束后，采购代理机构将不再告知未通过资格审查或符合性审查的原因。</w:t>
      </w:r>
    </w:p>
    <w:p w14:paraId="44C44053">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17.4评标委员会判断投标文件的响应性，仅基于投标文件本身而不靠外部证据。对非实质性响应的投标文件，投标人不能通过修正或撤销不符之处，而使其成为实质性响应。</w:t>
      </w:r>
    </w:p>
    <w:p w14:paraId="3818B605">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17.5相同品牌产品投标</w:t>
      </w:r>
    </w:p>
    <w:p w14:paraId="749BEA86">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17.5.1采用最低评标价法的采购项目，提供相同品牌产品的不同投标人参加同一合同项下投标的，以其中通过资格审查、符合性审查且报价最低的参加评标；报价相同的，由采购人采取随机抽取方式确定，其他投标无效。</w:t>
      </w:r>
    </w:p>
    <w:p w14:paraId="19D67D4E">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17.5.2使用综合评分法的采购项目，提供相同品牌产品且通过资格审查、符合性审查的不同投标人参加同一合同项下投标的，按一家投标人计算，评审后得分最高的同品牌投标人获得中标人推荐资格；评审得分相同的，报价最低的同品牌投标人获得中标人推荐资格；评审得分且报价相同的，采取随机抽取方式确定，其他同品牌投标人不作为中标候选人。</w:t>
      </w:r>
    </w:p>
    <w:p w14:paraId="1ACF5F14">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17.5.3非单一产品采购项目，采购人确定核心产品，并在招标文件中载明。多家投标人提供的核心产品品牌相同的，按前两款规定处理。</w:t>
      </w:r>
    </w:p>
    <w:p w14:paraId="301B5019">
      <w:pPr>
        <w:spacing w:line="48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17.6有关问题的澄清</w:t>
      </w:r>
    </w:p>
    <w:p w14:paraId="2C83428D">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17.6.1对投标文件中含义不明确、同类问题表述不一致或者有明显文字和计算错误的内容，评标委员会通过“苏采云”系统向投标人发出“澄清要求函”，要求投标人作出必要的澄清、说明或者补正。投标人的澄清、说明或者补正应当采用书面形式且不得超出投标文件的范围或者改变投标文件的实质性内容。投标人的澄清、说明或者补正应加盖电子公章，或者由法定代表人或其授权的代表签章（或签字）。澄清、说明和补正的内容作为投标文件的补充部分。</w:t>
      </w:r>
    </w:p>
    <w:p w14:paraId="6CB0C92A">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17.6.2投标文件报价出现前后不一致的，除招标文件另有规定外，按照下列规定修正：</w:t>
      </w:r>
    </w:p>
    <w:p w14:paraId="0EAC9CD1">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①投标文件中开标一览表（报价表）内容与投标文件中相应内容不一致的，以开标一览表（报价表）为准；</w:t>
      </w:r>
    </w:p>
    <w:p w14:paraId="7C9298DD">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②大写金额和小写金额不一致的，以大写金额为准；</w:t>
      </w:r>
    </w:p>
    <w:p w14:paraId="23A675B8">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③单价金额小数点或者百分比有明显错位的，以开标一览表的总价为准，并修改单价；</w:t>
      </w:r>
    </w:p>
    <w:p w14:paraId="69D9147C">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④总价金额与按单价汇总金额不一致的，以单价金额计算结果为准。</w:t>
      </w:r>
    </w:p>
    <w:p w14:paraId="789137CA">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w:t>
      </w:r>
    </w:p>
    <w:p w14:paraId="6AAADAFC">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17.6.3评标委员会将按上述修正错误的方法调整投标文件中的投标报价，并通过“苏采云”系统告知投标人，调整后的价格应对投标人具有约束力。投标人不接受修正后的价格，其投标将被拒绝。</w:t>
      </w:r>
    </w:p>
    <w:p w14:paraId="3B91F4D1">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评标过程中，不得去掉报价中的最高报价和最低报价。</w:t>
      </w:r>
    </w:p>
    <w:p w14:paraId="19DAF1AC">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17.7异常低价投标审查</w:t>
      </w:r>
    </w:p>
    <w:p w14:paraId="71F3B9A2">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17.7.1评标过程中出现下列情形之一的，评标委员会应当启动异常低价投标审查程序：</w:t>
      </w:r>
    </w:p>
    <w:p w14:paraId="7AA4AC23">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（1）投标报价低于采购项目预算50%的，即投标报价＜采购项目预算×50%；</w:t>
      </w:r>
    </w:p>
    <w:p w14:paraId="1968466A">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（2）投标报价低于采购项目最高限价45%的，即投标报价＜采购项目最高限价×45%；</w:t>
      </w:r>
    </w:p>
    <w:p w14:paraId="25696A84">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（3）评标委员会认定的投标人报价过低（含明显低于其他通过符合性审查投标人的报价），有可能影响产品质量或者不能诚信履约的其他情形。</w:t>
      </w:r>
    </w:p>
    <w:p w14:paraId="2741B8C0">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17.7.2启动异常低价投标审查后，评标委员会应当要求相关供应商在评标现场合理的时间内，提供项目具体成本测算等与报价合理性相关的书面说明材料及相关证明材料，对投标价格作出解释，由评标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处理。审查相关情况应当在评标报告中进行记录。</w:t>
      </w:r>
    </w:p>
    <w:p w14:paraId="2EF75695">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17.8推荐中标候选人</w:t>
      </w:r>
    </w:p>
    <w:p w14:paraId="4E91F060">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评标委员会按照招标文件中规定的评标方法和标准推荐中标候选人。</w:t>
      </w:r>
    </w:p>
    <w:p w14:paraId="4228E820">
      <w:pPr>
        <w:spacing w:before="0" w:after="0" w:line="560" w:lineRule="exact"/>
        <w:ind w:firstLine="498"/>
        <w:rPr>
          <w:rFonts w:hint="eastAsia" w:ascii="仿宋" w:hAnsi="仿宋" w:eastAsia="仿宋" w:cs="仿宋"/>
          <w:b/>
          <w:bCs/>
          <w:color w:val="auto"/>
          <w:sz w:val="28"/>
          <w:szCs w:val="28"/>
          <w:highlight w:val="none"/>
        </w:rPr>
      </w:pPr>
      <w:bookmarkStart w:id="125" w:name="_Toc81575159"/>
      <w:bookmarkStart w:id="126" w:name="_Toc8712"/>
      <w:bookmarkStart w:id="127" w:name="_Toc81575196"/>
      <w:bookmarkStart w:id="128" w:name="_Toc8841"/>
      <w:r>
        <w:rPr>
          <w:rFonts w:hint="eastAsia" w:ascii="仿宋" w:hAnsi="仿宋" w:eastAsia="仿宋" w:cs="仿宋"/>
          <w:b/>
          <w:bCs/>
          <w:color w:val="auto"/>
          <w:sz w:val="28"/>
          <w:szCs w:val="28"/>
          <w:highlight w:val="none"/>
        </w:rPr>
        <w:t>六、无效投标、废标、串通投标</w:t>
      </w:r>
      <w:bookmarkEnd w:id="125"/>
      <w:bookmarkEnd w:id="126"/>
      <w:bookmarkEnd w:id="127"/>
      <w:bookmarkEnd w:id="128"/>
      <w:r>
        <w:rPr>
          <w:rFonts w:hint="eastAsia" w:ascii="仿宋" w:hAnsi="仿宋" w:eastAsia="仿宋" w:cs="仿宋"/>
          <w:b/>
          <w:bCs/>
          <w:color w:val="auto"/>
          <w:sz w:val="28"/>
          <w:szCs w:val="28"/>
          <w:highlight w:val="none"/>
        </w:rPr>
        <w:t>及取消中标候选人资格情形</w:t>
      </w:r>
    </w:p>
    <w:p w14:paraId="35F56DED">
      <w:pPr>
        <w:spacing w:line="48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18、无效投标情形</w:t>
      </w:r>
    </w:p>
    <w:p w14:paraId="51B146A0">
      <w:pPr>
        <w:spacing w:line="480" w:lineRule="exact"/>
        <w:ind w:firstLine="480"/>
        <w:rPr>
          <w:rFonts w:hint="eastAsia" w:ascii="仿宋" w:hAnsi="仿宋" w:eastAsia="仿宋" w:cs="仿宋"/>
          <w:strike/>
          <w:color w:val="auto"/>
          <w:sz w:val="24"/>
          <w:highlight w:val="none"/>
        </w:rPr>
      </w:pPr>
      <w:r>
        <w:rPr>
          <w:rFonts w:hint="eastAsia" w:ascii="仿宋" w:hAnsi="仿宋" w:eastAsia="仿宋" w:cs="仿宋"/>
          <w:color w:val="auto"/>
          <w:sz w:val="24"/>
          <w:highlight w:val="none"/>
        </w:rPr>
        <w:t>18.1投标人同一采购包提交两个（含两个）以上不同的投标报价的。</w:t>
      </w:r>
    </w:p>
    <w:p w14:paraId="12EEAF02">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18.2投标人不符合招标文件规定资格要求的或未按规定提交资质证件的。</w:t>
      </w:r>
    </w:p>
    <w:p w14:paraId="23E389C2">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18.3投标人的报价超过了采购预算或最高限价的。</w:t>
      </w:r>
    </w:p>
    <w:p w14:paraId="712DE8C0">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18.4投标文件未通过符合性审查的。</w:t>
      </w:r>
    </w:p>
    <w:p w14:paraId="0375A475">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18.5投标文件出现重大偏离，不符合招标文件中规定的实质性要求的（★部分为实质性要求）。</w:t>
      </w:r>
    </w:p>
    <w:p w14:paraId="5B7020A2">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18.6</w:t>
      </w:r>
      <w:r>
        <w:rPr>
          <w:rFonts w:hint="eastAsia" w:ascii="仿宋" w:hAnsi="仿宋" w:eastAsia="仿宋" w:cs="仿宋"/>
          <w:color w:val="auto"/>
          <w:sz w:val="24"/>
          <w:highlight w:val="none"/>
        </w:rPr>
        <w:t>评标委员</w:t>
      </w:r>
      <w:r>
        <w:rPr>
          <w:rFonts w:hint="eastAsia" w:ascii="仿宋" w:hAnsi="仿宋" w:eastAsia="仿宋" w:cs="仿宋"/>
          <w:color w:val="auto"/>
          <w:sz w:val="24"/>
          <w:highlight w:val="none"/>
        </w:rPr>
        <w:t>会启动异常低价投标审查后，投标</w:t>
      </w:r>
      <w:r>
        <w:rPr>
          <w:rFonts w:hint="eastAsia" w:ascii="仿宋" w:hAnsi="仿宋" w:eastAsia="仿宋" w:cs="仿宋"/>
          <w:color w:val="auto"/>
          <w:sz w:val="24"/>
          <w:highlight w:val="none"/>
          <w:lang w:eastAsia="zh-CN"/>
        </w:rPr>
        <w:t>人</w:t>
      </w:r>
      <w:r>
        <w:rPr>
          <w:rFonts w:hint="eastAsia" w:ascii="仿宋" w:hAnsi="仿宋" w:eastAsia="仿宋" w:cs="仿宋"/>
          <w:color w:val="auto"/>
          <w:sz w:val="24"/>
          <w:highlight w:val="none"/>
        </w:rPr>
        <w:t>不提供书面说明、证明材料，或者</w:t>
      </w:r>
      <w:r>
        <w:rPr>
          <w:rFonts w:hint="eastAsia" w:ascii="仿宋" w:hAnsi="仿宋" w:eastAsia="仿宋" w:cs="仿宋"/>
          <w:color w:val="auto"/>
          <w:sz w:val="24"/>
          <w:highlight w:val="none"/>
          <w:lang w:val="en-US" w:eastAsia="zh-CN"/>
        </w:rPr>
        <w:t>评标委员会认为</w:t>
      </w: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eastAsia="zh-CN"/>
        </w:rPr>
        <w:t>人</w:t>
      </w:r>
      <w:r>
        <w:rPr>
          <w:rFonts w:hint="eastAsia" w:ascii="仿宋" w:hAnsi="仿宋" w:eastAsia="仿宋" w:cs="仿宋"/>
          <w:color w:val="auto"/>
          <w:sz w:val="24"/>
          <w:highlight w:val="none"/>
        </w:rPr>
        <w:t>提供的书面说明、证明材料不能证明其报价合理性的。</w:t>
      </w:r>
    </w:p>
    <w:p w14:paraId="0B10FFDD">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18.7投标文件未按照招标文件要求加盖CA电子公章的。</w:t>
      </w:r>
    </w:p>
    <w:p w14:paraId="37BFCB16">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18.8投标人有本招标文件规定的恶意串通投标情形的。</w:t>
      </w:r>
    </w:p>
    <w:p w14:paraId="5024248C">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18.9投标文件含有采购人不能接受的附加条件的。</w:t>
      </w:r>
    </w:p>
    <w:p w14:paraId="3E63CA06">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18.10其他法律、法规及本招标文件规定的属无效投标的情形。</w:t>
      </w:r>
    </w:p>
    <w:p w14:paraId="2E062B86">
      <w:pPr>
        <w:spacing w:line="48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19、废标情形</w:t>
      </w:r>
    </w:p>
    <w:p w14:paraId="1C8CEE59">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19.1符合专业条件的投标人或者对招标文件作实质响应的投标人不足三家的。</w:t>
      </w:r>
    </w:p>
    <w:p w14:paraId="1F0F1D1C">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19.2出现影响采购公正的违法、违规行为的。</w:t>
      </w:r>
    </w:p>
    <w:p w14:paraId="0958C96B">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19.3因重大变故，采购任务取消的。</w:t>
      </w:r>
    </w:p>
    <w:p w14:paraId="4122F8BE">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19.4评标委员会认定招标文件存在歧义、重大缺陷导致评审工作无法进行的。</w:t>
      </w:r>
    </w:p>
    <w:p w14:paraId="36E93F84">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19.5在“苏采云”系统规定时间内成功解密电子投标文件的投标人不足3家的。</w:t>
      </w:r>
    </w:p>
    <w:p w14:paraId="78CFCB9F">
      <w:pPr>
        <w:spacing w:line="48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20、投标人不足三家情形处理</w:t>
      </w:r>
    </w:p>
    <w:p w14:paraId="6DD9D968">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投标截止后投标人不足3家或者通过资格审查或符合性审查的投标人不足3家的，除采购任务取消情形外，按财政部令第87号第四十三条条款进行处理。</w:t>
      </w:r>
    </w:p>
    <w:p w14:paraId="46C3E7FF">
      <w:pPr>
        <w:spacing w:line="48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21、串通投标情形</w:t>
      </w:r>
    </w:p>
    <w:p w14:paraId="019A236B">
      <w:pPr>
        <w:spacing w:line="5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有下列情形之一的，属于恶意串通投标：</w:t>
      </w:r>
    </w:p>
    <w:p w14:paraId="4B2228F6">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21.1供应商直接或间接从采购人或采购代理机构处获得其他供应商的投标情况，并修改其投标文件；</w:t>
      </w:r>
    </w:p>
    <w:p w14:paraId="423EBAFA">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21.2评审活动开始前供应商直接或间接从采购人或采购代理机构处获得评标委员会组成人员情况；</w:t>
      </w:r>
    </w:p>
    <w:p w14:paraId="0EC9EC4B">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21.3供应商接受采购人或采购代理机构授意撤换、修改投标文件；</w:t>
      </w:r>
    </w:p>
    <w:p w14:paraId="18EBADF7">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21.4供应商之间协商投标报价、技术方案等投标文件实质性内容；</w:t>
      </w:r>
    </w:p>
    <w:p w14:paraId="6A79355D">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21.5属于同一集团、协会、商会等组织成员的供应商按照该组织要求协同投标；</w:t>
      </w:r>
    </w:p>
    <w:p w14:paraId="245F30E8">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21.6供应商之间事先约定由某一特定供应商中标、成交；</w:t>
      </w:r>
    </w:p>
    <w:p w14:paraId="188758E4">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21.7供应商之间商定部分供应商放弃投标或者放弃中标、成交；</w:t>
      </w:r>
    </w:p>
    <w:p w14:paraId="0887C419">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21.8供应商与采购人或采购代理机构之间、供应商相互之间为谋求特定供应商中标成交或者排斥其他供应商的其他串通行为；</w:t>
      </w:r>
    </w:p>
    <w:p w14:paraId="4D48DF35">
      <w:pPr>
        <w:spacing w:line="50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有下列情形之一的，视为投标人串通投标，其投标无效：</w:t>
      </w:r>
    </w:p>
    <w:p w14:paraId="68847FAD">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21.9不同投标人的投标文件由同一单位或者个人编制；</w:t>
      </w:r>
    </w:p>
    <w:p w14:paraId="26CDFA38">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21.10不同投标人委托同一单位或者个人办理投标事宜；</w:t>
      </w:r>
    </w:p>
    <w:p w14:paraId="03B59E6F">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21.11不同投标人的投标文件载明的项目管理成员或者联系人员为同一人；</w:t>
      </w:r>
    </w:p>
    <w:p w14:paraId="6F7BB916">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21.12不同投标人的投标文件异常一致或者投标报价呈规律性差异；</w:t>
      </w:r>
    </w:p>
    <w:p w14:paraId="5012D383">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21.13不同投标人的投标文件相互混装；</w:t>
      </w:r>
    </w:p>
    <w:p w14:paraId="01EFFB48">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21.14不同投标人的投标保证金从同一单位或者个人的账户转出。</w:t>
      </w:r>
    </w:p>
    <w:p w14:paraId="6E6A7DA6">
      <w:pPr>
        <w:spacing w:line="48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22、</w:t>
      </w:r>
      <w:bookmarkStart w:id="129" w:name="OLE_LINK4"/>
      <w:r>
        <w:rPr>
          <w:rFonts w:hint="eastAsia" w:ascii="仿宋" w:hAnsi="仿宋" w:eastAsia="仿宋" w:cs="仿宋"/>
          <w:b/>
          <w:color w:val="auto"/>
          <w:sz w:val="24"/>
          <w:highlight w:val="none"/>
        </w:rPr>
        <w:t>取消中标候选人资格情形</w:t>
      </w:r>
    </w:p>
    <w:bookmarkEnd w:id="129"/>
    <w:p w14:paraId="747ED9DD">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22.1提供虚假材料谋取中标的；</w:t>
      </w:r>
    </w:p>
    <w:p w14:paraId="60847AB8">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22.2采取不正当手段诋毁、排挤其他投标人的；</w:t>
      </w:r>
    </w:p>
    <w:p w14:paraId="498CCF95">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22.3与采购人、其他投标人或者采购代理机构恶意串通的；</w:t>
      </w:r>
    </w:p>
    <w:p w14:paraId="7B49424B">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22.4向采购人、采购代理机构行贿或者提供其他不正当利益的；</w:t>
      </w:r>
    </w:p>
    <w:p w14:paraId="33C2D2A4">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22.5未在规定时间内与采购人签订采购合同的；</w:t>
      </w:r>
    </w:p>
    <w:p w14:paraId="31763AF2">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22.6法律、法规规定的</w:t>
      </w:r>
      <w:r>
        <w:rPr>
          <w:rFonts w:hint="eastAsia" w:ascii="仿宋" w:hAnsi="仿宋" w:eastAsia="仿宋" w:cs="仿宋"/>
          <w:color w:val="auto"/>
          <w:sz w:val="24"/>
          <w:highlight w:val="none"/>
          <w:lang w:eastAsia="zh-CN"/>
        </w:rPr>
        <w:t>其他情况</w:t>
      </w:r>
      <w:r>
        <w:rPr>
          <w:rFonts w:hint="eastAsia" w:ascii="仿宋" w:hAnsi="仿宋" w:eastAsia="仿宋" w:cs="仿宋"/>
          <w:color w:val="auto"/>
          <w:sz w:val="24"/>
          <w:highlight w:val="none"/>
        </w:rPr>
        <w:t>。</w:t>
      </w:r>
      <w:bookmarkStart w:id="130" w:name="_Toc81575161"/>
      <w:bookmarkStart w:id="131" w:name="_Toc81575198"/>
      <w:bookmarkStart w:id="132" w:name="_Toc6494"/>
      <w:bookmarkStart w:id="133" w:name="_Toc2391"/>
    </w:p>
    <w:p w14:paraId="54B8F4EA">
      <w:pPr>
        <w:spacing w:line="480" w:lineRule="exact"/>
        <w:ind w:firstLine="321"/>
        <w:outlineLvl w:val="1"/>
        <w:rPr>
          <w:rFonts w:hint="eastAsia" w:ascii="仿宋" w:hAnsi="仿宋" w:eastAsia="仿宋" w:cs="仿宋"/>
          <w:b/>
          <w:bCs/>
          <w:color w:val="auto"/>
          <w:sz w:val="32"/>
          <w:szCs w:val="22"/>
          <w:highlight w:val="none"/>
          <w:lang w:val="en-US" w:eastAsia="zh-CN" w:bidi="ar-SA"/>
        </w:rPr>
      </w:pPr>
      <w:r>
        <w:rPr>
          <w:rFonts w:hint="eastAsia" w:ascii="仿宋" w:hAnsi="仿宋" w:eastAsia="仿宋" w:cs="仿宋"/>
          <w:b/>
          <w:bCs/>
          <w:color w:val="auto"/>
          <w:sz w:val="32"/>
          <w:szCs w:val="22"/>
          <w:highlight w:val="none"/>
          <w:lang w:val="en-US" w:eastAsia="zh-CN" w:bidi="ar-SA"/>
        </w:rPr>
        <w:t>七、中标及合同签订</w:t>
      </w:r>
      <w:bookmarkEnd w:id="130"/>
      <w:bookmarkEnd w:id="131"/>
      <w:bookmarkEnd w:id="132"/>
      <w:bookmarkEnd w:id="133"/>
    </w:p>
    <w:p w14:paraId="337FFFD2">
      <w:pPr>
        <w:spacing w:line="50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23、确定中标人</w:t>
      </w:r>
    </w:p>
    <w:p w14:paraId="3C0C5490">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23.1采购人应当自收到评审报告之日起5个工作日内在评审报告推荐的中标候选人中按顺序确定中标人。</w:t>
      </w:r>
    </w:p>
    <w:p w14:paraId="4876D7AC">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23.2中标人确定之日起2个工作日内，采购人、采购代理机构将发布中标结果，中标公告的公告期限为1个工作日。</w:t>
      </w:r>
    </w:p>
    <w:p w14:paraId="57F65A34">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23.3采购人确定正被列为失信被执行人的投标人为中标人的，中标结果无效。</w:t>
      </w:r>
    </w:p>
    <w:p w14:paraId="7A6A97ED">
      <w:pPr>
        <w:spacing w:line="50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24、中标通知书</w:t>
      </w:r>
    </w:p>
    <w:p w14:paraId="57D3850A">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24.1在公告中标结果的同时，采购代理机构将向中标人发出中标通知书。中标人使用CA数字证书登录“苏采云”系统及时下载中标通知书。</w:t>
      </w:r>
    </w:p>
    <w:p w14:paraId="1E365916">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24.2中标通知书发出后，采购人改变中标结果的，或者中标人放弃中标项目的，应当依法承担法律责任。</w:t>
      </w:r>
    </w:p>
    <w:p w14:paraId="6A25EE82">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24.3采用综合评分法评审的，未中标人可于中标结果公告期限届满之日起通过“苏采云”系统查看</w:t>
      </w:r>
      <w:bookmarkStart w:id="134" w:name="OLE_LINK5"/>
      <w:r>
        <w:rPr>
          <w:rFonts w:hint="eastAsia" w:ascii="仿宋" w:hAnsi="仿宋" w:eastAsia="仿宋" w:cs="仿宋"/>
          <w:color w:val="auto"/>
          <w:sz w:val="24"/>
          <w:highlight w:val="none"/>
        </w:rPr>
        <w:t>自己的评审得分及排序情况。</w:t>
      </w:r>
    </w:p>
    <w:bookmarkEnd w:id="134"/>
    <w:p w14:paraId="41005694">
      <w:pPr>
        <w:spacing w:line="50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25、授予合同</w:t>
      </w:r>
    </w:p>
    <w:p w14:paraId="05E4348E">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25.1采购人与中标人应当在中标通知书发出之日起15日内签订政府采购合同。招标文件、中标人的投标文件以及评标过程中有关澄清文件均作为合同附件。</w:t>
      </w:r>
    </w:p>
    <w:p w14:paraId="444DC310">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25.2采购人在自合同签订之日起2个工作日内，将合同在指定的媒体上公告。</w:t>
      </w:r>
    </w:p>
    <w:p w14:paraId="7A86A6B9">
      <w:pPr>
        <w:spacing w:line="48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26、履约保证金</w:t>
      </w:r>
    </w:p>
    <w:p w14:paraId="4C3B916B">
      <w:pPr>
        <w:spacing w:line="480" w:lineRule="exact"/>
        <w:ind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按照以下第</w:t>
      </w:r>
      <w:r>
        <w:rPr>
          <w:rFonts w:hint="eastAsia" w:ascii="仿宋" w:hAnsi="仿宋" w:eastAsia="仿宋" w:cs="仿宋"/>
          <w:color w:val="auto"/>
          <w:sz w:val="24"/>
          <w:highlight w:val="none"/>
          <w:u w:val="single"/>
          <w:lang w:val="zh-CN"/>
        </w:rPr>
        <w:t>（</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lang w:val="zh-CN"/>
        </w:rPr>
        <w:t>）</w:t>
      </w:r>
      <w:r>
        <w:rPr>
          <w:rFonts w:hint="eastAsia" w:ascii="仿宋" w:hAnsi="仿宋" w:eastAsia="仿宋" w:cs="仿宋"/>
          <w:color w:val="auto"/>
          <w:sz w:val="24"/>
          <w:highlight w:val="none"/>
          <w:lang w:val="zh-CN"/>
        </w:rPr>
        <w:t>方式确定履约保证</w:t>
      </w:r>
      <w:r>
        <w:rPr>
          <w:rFonts w:hint="eastAsia" w:ascii="仿宋" w:hAnsi="仿宋" w:eastAsia="仿宋" w:cs="仿宋"/>
          <w:color w:val="auto"/>
          <w:sz w:val="24"/>
          <w:highlight w:val="none"/>
        </w:rPr>
        <w:t>金</w:t>
      </w:r>
      <w:r>
        <w:rPr>
          <w:rFonts w:hint="eastAsia" w:ascii="仿宋" w:hAnsi="仿宋" w:eastAsia="仿宋" w:cs="仿宋"/>
          <w:color w:val="auto"/>
          <w:sz w:val="24"/>
          <w:highlight w:val="none"/>
          <w:lang w:val="zh-CN"/>
        </w:rPr>
        <w:t>收取方式。</w:t>
      </w:r>
    </w:p>
    <w:p w14:paraId="41B0B516">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（1）本项目不收取履约保证金。</w:t>
      </w:r>
    </w:p>
    <w:p w14:paraId="7D1A6C87">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（2）本项目收取履约保证金。</w:t>
      </w:r>
    </w:p>
    <w:p w14:paraId="1798AB16">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26.1履约保证金提交形式</w:t>
      </w:r>
    </w:p>
    <w:p w14:paraId="65F42FF8">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履约保证金应在采购合同签订前提交，除银行电汇、网上银行、数字人民币外，投标人还可选用银行保函、担保公司的保证担保或保险公司的保证保险等多种形式向采购人缴纳。</w:t>
      </w:r>
    </w:p>
    <w:p w14:paraId="0F6E3D29">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26.2履约保证金提交金额</w:t>
      </w:r>
    </w:p>
    <w:p w14:paraId="1E0A4906">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按采购合同总价的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%提交。</w:t>
      </w:r>
    </w:p>
    <w:p w14:paraId="0CA3CF63">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支持和鼓励投标人使用江苏政府采购电子履约保函（保险）代替缴纳履约保证金，投标人如使用江苏政府采购电子履约保函（保险）的，可按采购合同总价的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rPr>
        <w:t>%（履约保证金原提交金额的6折）提交。办理流程、偿付等内容见江</w:t>
      </w:r>
      <w:r>
        <w:rPr>
          <w:rFonts w:hint="eastAsia" w:ascii="仿宋" w:hAnsi="仿宋" w:eastAsia="仿宋" w:cs="仿宋"/>
          <w:color w:val="auto"/>
          <w:sz w:val="24"/>
          <w:highlight w:val="none"/>
          <w:lang w:eastAsia="zh-CN"/>
        </w:rPr>
        <w:t>苏省</w:t>
      </w:r>
      <w:r>
        <w:rPr>
          <w:rFonts w:hint="eastAsia" w:ascii="仿宋" w:hAnsi="仿宋" w:eastAsia="仿宋" w:cs="仿宋"/>
          <w:color w:val="auto"/>
          <w:sz w:val="24"/>
          <w:highlight w:val="none"/>
        </w:rPr>
        <w:t>政府采购网“保险保函”模块。</w:t>
      </w:r>
    </w:p>
    <w:p w14:paraId="3C034A30">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26.3履约保证金退还方式</w:t>
      </w:r>
    </w:p>
    <w:p w14:paraId="2E65A9A0">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以银行电汇、网上银行、数字人民币形式缴纳履约保证金的，退回至投标人存款账户或数字人民币账户；以保函、担保、保险等形式缴纳履约保证金的，在保函、担保、保险约定的保证期限届满之日起自行失效。</w:t>
      </w:r>
    </w:p>
    <w:p w14:paraId="10F4E314">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26.4履约保证金退还条件</w:t>
      </w:r>
    </w:p>
    <w:p w14:paraId="6FC05733">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具有验收合格相关证明材料。</w:t>
      </w:r>
    </w:p>
    <w:p w14:paraId="4BA2849A">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26.5履约保证金退还时间</w:t>
      </w:r>
    </w:p>
    <w:p w14:paraId="227A02D4">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采购人收到投标人退付申请后5个工作日内退还。</w:t>
      </w:r>
    </w:p>
    <w:p w14:paraId="556E26F7">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26.6履约保证金不予退还情形</w:t>
      </w:r>
    </w:p>
    <w:p w14:paraId="630835CB">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除不可抗力外，中标人不履行与采购人订立的采购合同的，履约保证金不予退还，给采购人造成的损失超过履约保证金数额的，还应对超过部分予以赔偿。</w:t>
      </w:r>
    </w:p>
    <w:p w14:paraId="3C7127AC">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26.7逾期退还履约保证金违约责任</w:t>
      </w:r>
    </w:p>
    <w:p w14:paraId="7E8C31EB">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采购人逾期退还履约保证金的，除应退还履约保证金外，还应按中国人民银行同期贷款基准利率上浮20％后的利率支付超期资金占用费，但因投标人自身原因导致无法及时退还的除外。</w:t>
      </w:r>
    </w:p>
    <w:p w14:paraId="2AD757A2">
      <w:pPr>
        <w:spacing w:line="480" w:lineRule="exact"/>
        <w:ind w:firstLine="482"/>
        <w:rPr>
          <w:rFonts w:hint="eastAsia" w:ascii="仿宋" w:hAnsi="仿宋" w:eastAsia="仿宋" w:cs="仿宋"/>
          <w:b/>
          <w:bCs/>
          <w:color w:val="auto"/>
          <w:sz w:val="24"/>
          <w:szCs w:val="24"/>
          <w:highlight w:val="none"/>
        </w:rPr>
      </w:pPr>
      <w:r>
        <w:rPr>
          <w:rFonts w:hint="eastAsia" w:ascii="仿宋" w:hAnsi="仿宋" w:eastAsia="仿宋" w:cs="仿宋"/>
          <w:b/>
          <w:color w:val="auto"/>
          <w:sz w:val="24"/>
          <w:highlight w:val="none"/>
        </w:rPr>
        <w:t>27、线上融资</w:t>
      </w:r>
    </w:p>
    <w:p w14:paraId="54079E7A">
      <w:pPr>
        <w:spacing w:line="480" w:lineRule="exact"/>
        <w:ind w:firstLine="480"/>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中标人可凭政府采购合同办理融资贷款，详情见江苏政府采购网“政采贷”专栏。</w:t>
      </w:r>
    </w:p>
    <w:p w14:paraId="6B9D2ADF">
      <w:pPr>
        <w:spacing w:line="480" w:lineRule="exact"/>
        <w:ind w:firstLine="482"/>
        <w:rPr>
          <w:rFonts w:hint="eastAsia" w:ascii="仿宋" w:hAnsi="仿宋" w:eastAsia="仿宋" w:cs="仿宋"/>
          <w:color w:val="auto"/>
          <w:sz w:val="24"/>
          <w:highlight w:val="none"/>
        </w:rPr>
      </w:pPr>
      <w:r>
        <w:rPr>
          <w:rFonts w:hint="eastAsia" w:ascii="仿宋" w:hAnsi="仿宋" w:eastAsia="仿宋" w:cs="仿宋"/>
          <w:b/>
          <w:color w:val="auto"/>
          <w:sz w:val="24"/>
          <w:highlight w:val="none"/>
        </w:rPr>
        <w:t>28、合同履行</w:t>
      </w:r>
    </w:p>
    <w:p w14:paraId="1CFC3B4A">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28.1政府采购合同订立后，合同各方不得擅自变更、中止或者终止合同。</w:t>
      </w:r>
    </w:p>
    <w:p w14:paraId="2D770C79">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28.2政府采购合同履行中，采购人需追加与合同标的相同的货物、工程或者服务的，在不改变合同其他条款的前提下，可以与中标人签订补充合同，但所补充合同的采购金额不得超过原采购金额的10%。</w:t>
      </w:r>
    </w:p>
    <w:p w14:paraId="00906E5F">
      <w:pPr>
        <w:spacing w:before="0" w:after="0" w:line="560" w:lineRule="exact"/>
        <w:ind w:firstLine="498"/>
        <w:rPr>
          <w:rFonts w:hint="eastAsia" w:ascii="仿宋" w:hAnsi="仿宋" w:eastAsia="仿宋" w:cs="仿宋"/>
          <w:b/>
          <w:bCs/>
          <w:color w:val="auto"/>
          <w:sz w:val="28"/>
          <w:szCs w:val="28"/>
          <w:highlight w:val="none"/>
        </w:rPr>
      </w:pPr>
      <w:bookmarkStart w:id="135" w:name="_Toc22084"/>
      <w:bookmarkStart w:id="136" w:name="_Toc81575199"/>
      <w:bookmarkStart w:id="137" w:name="_Toc81575162"/>
      <w:bookmarkStart w:id="138" w:name="_Toc7550"/>
      <w:r>
        <w:rPr>
          <w:rFonts w:hint="eastAsia" w:ascii="仿宋" w:hAnsi="仿宋" w:eastAsia="仿宋" w:cs="仿宋"/>
          <w:b/>
          <w:bCs/>
          <w:color w:val="auto"/>
          <w:sz w:val="28"/>
          <w:szCs w:val="28"/>
          <w:highlight w:val="none"/>
        </w:rPr>
        <w:t>八、</w:t>
      </w:r>
      <w:bookmarkEnd w:id="135"/>
      <w:bookmarkEnd w:id="136"/>
      <w:bookmarkEnd w:id="137"/>
      <w:bookmarkEnd w:id="138"/>
      <w:bookmarkStart w:id="139" w:name="_Toc12263"/>
      <w:bookmarkStart w:id="140" w:name="_Toc31888"/>
      <w:bookmarkStart w:id="141" w:name="_Toc81575200"/>
      <w:bookmarkStart w:id="142" w:name="_Toc81575163"/>
      <w:r>
        <w:rPr>
          <w:rFonts w:hint="eastAsia" w:ascii="仿宋" w:hAnsi="仿宋" w:eastAsia="仿宋" w:cs="仿宋"/>
          <w:b/>
          <w:bCs/>
          <w:color w:val="auto"/>
          <w:sz w:val="28"/>
          <w:szCs w:val="28"/>
          <w:highlight w:val="none"/>
        </w:rPr>
        <w:t>质疑与投诉</w:t>
      </w:r>
      <w:bookmarkEnd w:id="139"/>
      <w:bookmarkEnd w:id="140"/>
      <w:bookmarkEnd w:id="141"/>
      <w:bookmarkEnd w:id="142"/>
    </w:p>
    <w:p w14:paraId="418F0F8A">
      <w:pPr>
        <w:spacing w:line="48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29、质疑</w:t>
      </w:r>
    </w:p>
    <w:p w14:paraId="0BE4AAFB">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29.1供应商认为采购文件、采购过程和中标结果使自己的权益受到损害的，可以在知道或者应知其权益受到损害之日起七个工作日内，</w:t>
      </w:r>
      <w:bookmarkStart w:id="143" w:name="OLE_LINK2"/>
      <w:r>
        <w:rPr>
          <w:rFonts w:hint="eastAsia" w:ascii="仿宋" w:hAnsi="仿宋" w:eastAsia="仿宋" w:cs="仿宋"/>
          <w:b/>
          <w:bCs/>
          <w:color w:val="auto"/>
          <w:sz w:val="24"/>
          <w:highlight w:val="none"/>
        </w:rPr>
        <w:t>登录“苏采云”系统，从“项目质疑申请”模块向采购人提出质疑</w:t>
      </w:r>
      <w:bookmarkEnd w:id="143"/>
      <w:r>
        <w:rPr>
          <w:rFonts w:hint="eastAsia" w:ascii="仿宋" w:hAnsi="仿宋" w:eastAsia="仿宋" w:cs="仿宋"/>
          <w:b/>
          <w:bCs/>
          <w:color w:val="auto"/>
          <w:sz w:val="24"/>
          <w:highlight w:val="none"/>
        </w:rPr>
        <w:t>。</w:t>
      </w:r>
      <w:bookmarkStart w:id="144" w:name="OLE_LINK1"/>
      <w:r>
        <w:rPr>
          <w:rFonts w:hint="eastAsia" w:ascii="仿宋" w:hAnsi="仿宋" w:eastAsia="仿宋" w:cs="仿宋"/>
          <w:color w:val="auto"/>
          <w:sz w:val="24"/>
          <w:highlight w:val="none"/>
        </w:rPr>
        <w:t>质疑联系部门、联系电话、通讯地址详见采购公告。</w:t>
      </w:r>
      <w:bookmarkEnd w:id="144"/>
    </w:p>
    <w:p w14:paraId="417383FC">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29.2供应商应知其权益受到损害之日，是指：</w:t>
      </w:r>
    </w:p>
    <w:p w14:paraId="3ABCACAA">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（1）对本项目采购文件提出质疑的，为获取采购文件之日或者采购文件公告期限届满之日；</w:t>
      </w:r>
    </w:p>
    <w:p w14:paraId="69DED182">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（2）对本项目采购过程提出质疑的，为各采购程序环节结束之日；</w:t>
      </w:r>
    </w:p>
    <w:p w14:paraId="398B21F0">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（3）对本项目中标结果提出质疑的，为中标结果公告期限届满之日。</w:t>
      </w:r>
    </w:p>
    <w:p w14:paraId="035BD0ED">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29.3质疑供应商应当是参与所质疑项目采购活动的供应商。潜在供应商已依法获取其可质疑的采购文件的，方可对该文件提出质疑。供应商在法定质疑期内应一次性提出针对同一采购程序环节的质疑。</w:t>
      </w:r>
    </w:p>
    <w:p w14:paraId="04798AE4">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29.4供应商提出质疑应当提交质疑函和必要的证明材料。质疑函的必备内容：</w:t>
      </w:r>
    </w:p>
    <w:p w14:paraId="17F1086B">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14:paraId="6423F9ED">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14:paraId="785D8045">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（3）获取采购文件的时间；</w:t>
      </w:r>
    </w:p>
    <w:p w14:paraId="3F90B71E">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（4）具体、明确的质疑事项和质疑事项相关的请求；</w:t>
      </w:r>
    </w:p>
    <w:p w14:paraId="7D58DE54">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（5）事实依据；</w:t>
      </w:r>
    </w:p>
    <w:p w14:paraId="57231C0E">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（6）必要的法律依据；</w:t>
      </w:r>
    </w:p>
    <w:p w14:paraId="25F1306C">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（7）提出质疑的日期；</w:t>
      </w:r>
    </w:p>
    <w:p w14:paraId="00C0D8EA">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（8）供应商为自然人的，由本人签字；供应商为法人或者其他组织的，应当由法定代表人、主要负责人，或者其授权代表签字或者盖章，并加盖公章；</w:t>
      </w:r>
    </w:p>
    <w:p w14:paraId="16F0A6C6">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9）供应商委托代理人进行质疑的，代理人同时应当提交供应商签署的授权委托书。授权委托书载明代理人的姓名或者名称、代理事项、具体权限、期限和相关事项。供应商为自然人的，授权委托书应当由本人签字；供应商为法人或者其他组织的，授权委托书应当由法定代表人、主要负责人签字或者盖章，并加盖单位公章。</w:t>
      </w:r>
    </w:p>
    <w:p w14:paraId="5C322C5A">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29.5采购人在收到质疑函后7个工作日内作出答复，并以书面形式通知质疑供应商和其他有关供应商，但质疑答复的内容不涉及商业秘密。</w:t>
      </w:r>
    </w:p>
    <w:p w14:paraId="2BFFCFF3">
      <w:pPr>
        <w:spacing w:line="48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30、投诉</w:t>
      </w:r>
    </w:p>
    <w:p w14:paraId="5C5F25F0">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质疑供应商对答复不满意或采购人、采购代理机构未在规定时间内作出答复的，可在答复期满后15个工作日内向同级财政部门提起投诉。</w:t>
      </w:r>
    </w:p>
    <w:p w14:paraId="7AA20C55">
      <w:pPr>
        <w:rPr>
          <w:rFonts w:hint="eastAsia" w:ascii="仿宋" w:hAnsi="仿宋" w:eastAsia="仿宋" w:cs="仿宋"/>
          <w:bCs/>
          <w:color w:val="auto"/>
          <w:kern w:val="2"/>
          <w:sz w:val="44"/>
          <w:szCs w:val="28"/>
          <w:highlight w:val="none"/>
        </w:rPr>
      </w:pPr>
      <w:r>
        <w:rPr>
          <w:rFonts w:hint="eastAsia" w:ascii="仿宋" w:hAnsi="仿宋" w:eastAsia="仿宋" w:cs="仿宋"/>
          <w:bCs/>
          <w:color w:val="auto"/>
          <w:kern w:val="2"/>
          <w:sz w:val="44"/>
          <w:szCs w:val="28"/>
          <w:highlight w:val="none"/>
        </w:rPr>
        <w:br w:type="page"/>
      </w:r>
    </w:p>
    <w:p w14:paraId="5B411992">
      <w:pPr>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第</w:t>
      </w:r>
      <w:r>
        <w:rPr>
          <w:rFonts w:hint="eastAsia" w:ascii="仿宋" w:hAnsi="仿宋" w:eastAsia="仿宋" w:cs="仿宋"/>
          <w:b/>
          <w:bCs/>
          <w:color w:val="auto"/>
          <w:sz w:val="44"/>
          <w:szCs w:val="44"/>
          <w:highlight w:val="none"/>
          <w:lang w:val="en-US" w:eastAsia="zh-CN"/>
        </w:rPr>
        <w:t>三</w:t>
      </w:r>
      <w:r>
        <w:rPr>
          <w:rFonts w:hint="eastAsia" w:ascii="仿宋" w:hAnsi="仿宋" w:eastAsia="仿宋" w:cs="仿宋"/>
          <w:b/>
          <w:bCs/>
          <w:color w:val="auto"/>
          <w:sz w:val="44"/>
          <w:szCs w:val="44"/>
          <w:highlight w:val="none"/>
        </w:rPr>
        <w:t xml:space="preserve">章  </w:t>
      </w:r>
      <w:bookmarkEnd w:id="113"/>
      <w:bookmarkEnd w:id="114"/>
      <w:r>
        <w:rPr>
          <w:rFonts w:hint="eastAsia" w:ascii="仿宋" w:hAnsi="仿宋" w:eastAsia="仿宋" w:cs="仿宋"/>
          <w:b/>
          <w:bCs/>
          <w:color w:val="auto"/>
          <w:sz w:val="44"/>
          <w:szCs w:val="44"/>
          <w:highlight w:val="none"/>
        </w:rPr>
        <w:t>资格审查及评标办法</w:t>
      </w:r>
      <w:bookmarkEnd w:id="115"/>
    </w:p>
    <w:p w14:paraId="5AD70CF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color w:val="auto"/>
          <w:sz w:val="28"/>
          <w:szCs w:val="22"/>
          <w:highlight w:val="none"/>
        </w:rPr>
      </w:pPr>
      <w:r>
        <w:rPr>
          <w:rFonts w:hint="eastAsia" w:ascii="仿宋" w:hAnsi="仿宋" w:eastAsia="仿宋" w:cs="仿宋"/>
          <w:b/>
          <w:color w:val="auto"/>
          <w:sz w:val="28"/>
          <w:szCs w:val="22"/>
          <w:highlight w:val="none"/>
        </w:rPr>
        <w:t>一、资格审查。</w:t>
      </w:r>
    </w:p>
    <w:p w14:paraId="6373E1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资格审查人员按照下列指标对各投标人的资格进行审查，未通过审查的为无效标，不参与评标。</w:t>
      </w:r>
    </w:p>
    <w:tbl>
      <w:tblPr>
        <w:tblStyle w:val="2"/>
        <w:tblW w:w="8969" w:type="dxa"/>
        <w:tblInd w:w="-7"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484"/>
        <w:gridCol w:w="4485"/>
      </w:tblGrid>
      <w:tr w14:paraId="5EF4C18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84" w:type="dxa"/>
            <w:tcBorders>
              <w:top w:val="single" w:color="auto" w:sz="4" w:space="0"/>
              <w:left w:val="single" w:color="auto" w:sz="4" w:space="0"/>
              <w:bottom w:val="single" w:color="auto" w:sz="4" w:space="0"/>
              <w:right w:val="single" w:color="auto" w:sz="4" w:space="0"/>
            </w:tcBorders>
            <w:noWrap w:val="0"/>
            <w:vAlign w:val="center"/>
          </w:tcPr>
          <w:p w14:paraId="06F6D7ED">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资格审查因素</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3C4D94C4">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审查标准</w:t>
            </w:r>
          </w:p>
        </w:tc>
      </w:tr>
      <w:tr w14:paraId="7A13B957">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84" w:type="dxa"/>
            <w:tcBorders>
              <w:top w:val="single" w:color="auto" w:sz="4" w:space="0"/>
              <w:left w:val="single" w:color="auto" w:sz="4" w:space="0"/>
              <w:bottom w:val="single" w:color="auto" w:sz="4" w:space="0"/>
              <w:right w:val="single" w:color="auto" w:sz="4" w:space="0"/>
            </w:tcBorders>
            <w:noWrap w:val="0"/>
            <w:vAlign w:val="center"/>
          </w:tcPr>
          <w:p w14:paraId="7BE896C3">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投标函</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6DE7D156">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符合招标文件要求</w:t>
            </w:r>
          </w:p>
        </w:tc>
      </w:tr>
      <w:tr w14:paraId="198DFAA3">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84" w:type="dxa"/>
            <w:tcBorders>
              <w:top w:val="single" w:color="auto" w:sz="4" w:space="0"/>
              <w:left w:val="single" w:color="auto" w:sz="4" w:space="0"/>
              <w:bottom w:val="single" w:color="auto" w:sz="4" w:space="0"/>
              <w:right w:val="single" w:color="auto" w:sz="4" w:space="0"/>
            </w:tcBorders>
            <w:noWrap w:val="0"/>
            <w:vAlign w:val="center"/>
          </w:tcPr>
          <w:p w14:paraId="4BAF897D">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信用信息</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8AC3A9F">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符合招标文件要求</w:t>
            </w:r>
          </w:p>
        </w:tc>
      </w:tr>
      <w:tr w14:paraId="6D47F89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84" w:type="dxa"/>
            <w:tcBorders>
              <w:top w:val="single" w:color="auto" w:sz="4" w:space="0"/>
              <w:left w:val="single" w:color="auto" w:sz="4" w:space="0"/>
              <w:bottom w:val="single" w:color="auto" w:sz="4" w:space="0"/>
              <w:right w:val="single" w:color="auto" w:sz="4" w:space="0"/>
            </w:tcBorders>
            <w:noWrap w:val="0"/>
            <w:vAlign w:val="center"/>
          </w:tcPr>
          <w:p w14:paraId="0542F74A">
            <w:pPr>
              <w:jc w:val="center"/>
              <w:rPr>
                <w:rFonts w:hint="eastAsia" w:ascii="仿宋" w:hAnsi="仿宋" w:eastAsia="仿宋" w:cs="仿宋"/>
                <w:color w:val="auto"/>
                <w:szCs w:val="22"/>
                <w:highlight w:val="none"/>
              </w:rPr>
            </w:pPr>
            <w:r>
              <w:rPr>
                <w:rFonts w:hint="eastAsia" w:ascii="仿宋" w:hAnsi="仿宋" w:eastAsia="仿宋" w:cs="仿宋"/>
                <w:color w:val="auto"/>
                <w:highlight w:val="none"/>
              </w:rPr>
              <w:t>中小企业或残疾人福利性单位声明函，或监狱企业证明文件</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1FFE5163">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符合招标文件要求</w:t>
            </w:r>
          </w:p>
        </w:tc>
      </w:tr>
      <w:tr w14:paraId="137FA53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84" w:type="dxa"/>
            <w:tcBorders>
              <w:top w:val="single" w:color="auto" w:sz="4" w:space="0"/>
              <w:left w:val="single" w:color="auto" w:sz="4" w:space="0"/>
              <w:bottom w:val="single" w:color="auto" w:sz="4" w:space="0"/>
              <w:right w:val="single" w:color="auto" w:sz="4" w:space="0"/>
            </w:tcBorders>
            <w:noWrap w:val="0"/>
            <w:vAlign w:val="center"/>
          </w:tcPr>
          <w:p w14:paraId="45FCF522">
            <w:pPr>
              <w:jc w:val="center"/>
              <w:rPr>
                <w:rFonts w:hint="eastAsia" w:ascii="仿宋" w:hAnsi="仿宋" w:eastAsia="仿宋" w:cs="仿宋"/>
                <w:color w:val="auto"/>
                <w:szCs w:val="22"/>
                <w:highlight w:val="none"/>
                <w:lang w:val="en-US" w:eastAsia="zh-CN"/>
              </w:rPr>
            </w:pPr>
            <w:r>
              <w:rPr>
                <w:rFonts w:hint="eastAsia" w:ascii="仿宋" w:hAnsi="仿宋" w:eastAsia="仿宋" w:cs="仿宋"/>
                <w:color w:val="auto"/>
                <w:szCs w:val="22"/>
                <w:highlight w:val="none"/>
                <w:lang w:val="en-US" w:eastAsia="zh-CN"/>
              </w:rPr>
              <w:t>企业资质</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5748F0B">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符合招标文件要求</w:t>
            </w:r>
          </w:p>
        </w:tc>
      </w:tr>
    </w:tbl>
    <w:p w14:paraId="0DEC32A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color w:val="auto"/>
          <w:sz w:val="28"/>
          <w:szCs w:val="22"/>
          <w:highlight w:val="none"/>
        </w:rPr>
      </w:pPr>
      <w:r>
        <w:rPr>
          <w:rFonts w:hint="eastAsia" w:ascii="仿宋" w:hAnsi="仿宋" w:eastAsia="仿宋" w:cs="仿宋"/>
          <w:b/>
          <w:color w:val="auto"/>
          <w:sz w:val="28"/>
          <w:szCs w:val="22"/>
          <w:highlight w:val="none"/>
          <w:lang w:val="en-US" w:eastAsia="zh-CN"/>
        </w:rPr>
        <w:t>二、</w:t>
      </w:r>
      <w:r>
        <w:rPr>
          <w:rFonts w:hint="eastAsia" w:ascii="仿宋" w:hAnsi="仿宋" w:eastAsia="仿宋" w:cs="仿宋"/>
          <w:b/>
          <w:color w:val="auto"/>
          <w:sz w:val="28"/>
          <w:szCs w:val="22"/>
          <w:highlight w:val="none"/>
        </w:rPr>
        <w:t>符合性审查。</w:t>
      </w:r>
    </w:p>
    <w:p w14:paraId="30EB43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评标委员会首先按照下列指标对各投标人的投标文件进行符合性审查，未通过审查的为无效标，不再参与评审。</w:t>
      </w:r>
    </w:p>
    <w:tbl>
      <w:tblPr>
        <w:tblStyle w:val="2"/>
        <w:tblW w:w="8983" w:type="dxa"/>
        <w:tblInd w:w="-7"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490"/>
        <w:gridCol w:w="4493"/>
      </w:tblGrid>
      <w:tr w14:paraId="66ED270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90" w:type="dxa"/>
            <w:tcBorders>
              <w:top w:val="single" w:color="auto" w:sz="4" w:space="0"/>
              <w:left w:val="single" w:color="auto" w:sz="4" w:space="0"/>
              <w:bottom w:val="single" w:color="auto" w:sz="4" w:space="0"/>
              <w:right w:val="single" w:color="auto" w:sz="4" w:space="0"/>
            </w:tcBorders>
            <w:noWrap w:val="0"/>
            <w:vAlign w:val="center"/>
          </w:tcPr>
          <w:p w14:paraId="778D8254">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符合性审查因素</w:t>
            </w:r>
          </w:p>
        </w:tc>
        <w:tc>
          <w:tcPr>
            <w:tcW w:w="4493" w:type="dxa"/>
            <w:tcBorders>
              <w:top w:val="single" w:color="auto" w:sz="4" w:space="0"/>
              <w:left w:val="single" w:color="auto" w:sz="4" w:space="0"/>
              <w:bottom w:val="single" w:color="auto" w:sz="4" w:space="0"/>
              <w:right w:val="single" w:color="auto" w:sz="4" w:space="0"/>
            </w:tcBorders>
            <w:noWrap w:val="0"/>
            <w:vAlign w:val="center"/>
          </w:tcPr>
          <w:p w14:paraId="404149B5">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审查标准</w:t>
            </w:r>
          </w:p>
        </w:tc>
      </w:tr>
      <w:tr w14:paraId="49B6C350">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90" w:type="dxa"/>
            <w:tcBorders>
              <w:top w:val="single" w:color="auto" w:sz="4" w:space="0"/>
              <w:left w:val="single" w:color="auto" w:sz="4" w:space="0"/>
              <w:bottom w:val="single" w:color="auto" w:sz="4" w:space="0"/>
              <w:right w:val="single" w:color="auto" w:sz="4" w:space="0"/>
            </w:tcBorders>
            <w:noWrap w:val="0"/>
            <w:vAlign w:val="center"/>
          </w:tcPr>
          <w:p w14:paraId="3EAD11A1">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法定授权书</w:t>
            </w:r>
          </w:p>
        </w:tc>
        <w:tc>
          <w:tcPr>
            <w:tcW w:w="4493" w:type="dxa"/>
            <w:tcBorders>
              <w:top w:val="single" w:color="auto" w:sz="4" w:space="0"/>
              <w:left w:val="single" w:color="auto" w:sz="4" w:space="0"/>
              <w:bottom w:val="single" w:color="auto" w:sz="4" w:space="0"/>
              <w:right w:val="single" w:color="auto" w:sz="4" w:space="0"/>
            </w:tcBorders>
            <w:noWrap w:val="0"/>
            <w:vAlign w:val="center"/>
          </w:tcPr>
          <w:p w14:paraId="3407C5D8">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符合招标文件要求</w:t>
            </w:r>
          </w:p>
        </w:tc>
      </w:tr>
      <w:tr w14:paraId="5B6CD8B6">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90" w:type="dxa"/>
            <w:tcBorders>
              <w:top w:val="single" w:color="auto" w:sz="4" w:space="0"/>
              <w:left w:val="single" w:color="auto" w:sz="4" w:space="0"/>
              <w:bottom w:val="single" w:color="auto" w:sz="4" w:space="0"/>
              <w:right w:val="single" w:color="auto" w:sz="4" w:space="0"/>
            </w:tcBorders>
            <w:noWrap w:val="0"/>
            <w:vAlign w:val="center"/>
          </w:tcPr>
          <w:p w14:paraId="72929666">
            <w:pPr>
              <w:jc w:val="center"/>
              <w:rPr>
                <w:rFonts w:hint="eastAsia" w:ascii="仿宋" w:hAnsi="仿宋" w:eastAsia="仿宋" w:cs="仿宋"/>
                <w:color w:val="auto"/>
                <w:szCs w:val="22"/>
                <w:highlight w:val="none"/>
                <w:lang w:val="en-US" w:eastAsia="zh-CN"/>
              </w:rPr>
            </w:pPr>
            <w:r>
              <w:rPr>
                <w:rFonts w:hint="eastAsia" w:ascii="仿宋" w:hAnsi="仿宋" w:eastAsia="仿宋" w:cs="仿宋"/>
                <w:color w:val="auto"/>
                <w:szCs w:val="22"/>
                <w:highlight w:val="none"/>
                <w:lang w:val="en-US" w:eastAsia="zh-CN"/>
              </w:rPr>
              <w:t>开标一览表</w:t>
            </w:r>
          </w:p>
        </w:tc>
        <w:tc>
          <w:tcPr>
            <w:tcW w:w="4493" w:type="dxa"/>
            <w:tcBorders>
              <w:top w:val="single" w:color="auto" w:sz="4" w:space="0"/>
              <w:left w:val="single" w:color="auto" w:sz="4" w:space="0"/>
              <w:bottom w:val="single" w:color="auto" w:sz="4" w:space="0"/>
              <w:right w:val="single" w:color="auto" w:sz="4" w:space="0"/>
            </w:tcBorders>
            <w:noWrap w:val="0"/>
            <w:vAlign w:val="center"/>
          </w:tcPr>
          <w:p w14:paraId="790425ED">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符合招标文件要求</w:t>
            </w:r>
          </w:p>
        </w:tc>
      </w:tr>
      <w:tr w14:paraId="2B38B078">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90" w:type="dxa"/>
            <w:tcBorders>
              <w:top w:val="single" w:color="auto" w:sz="4" w:space="0"/>
              <w:left w:val="single" w:color="auto" w:sz="4" w:space="0"/>
              <w:bottom w:val="single" w:color="auto" w:sz="4" w:space="0"/>
              <w:right w:val="single" w:color="auto" w:sz="4" w:space="0"/>
            </w:tcBorders>
            <w:noWrap w:val="0"/>
            <w:vAlign w:val="center"/>
          </w:tcPr>
          <w:p w14:paraId="29F2C53D">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其他</w:t>
            </w:r>
          </w:p>
        </w:tc>
        <w:tc>
          <w:tcPr>
            <w:tcW w:w="4493" w:type="dxa"/>
            <w:tcBorders>
              <w:top w:val="single" w:color="auto" w:sz="4" w:space="0"/>
              <w:left w:val="single" w:color="auto" w:sz="4" w:space="0"/>
              <w:bottom w:val="single" w:color="auto" w:sz="4" w:space="0"/>
              <w:right w:val="single" w:color="auto" w:sz="4" w:space="0"/>
            </w:tcBorders>
            <w:noWrap w:val="0"/>
            <w:vAlign w:val="center"/>
          </w:tcPr>
          <w:p w14:paraId="76C3FD48">
            <w:pPr>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符合招标文件要求</w:t>
            </w:r>
          </w:p>
        </w:tc>
      </w:tr>
    </w:tbl>
    <w:p w14:paraId="0C38DAF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color w:val="auto"/>
          <w:sz w:val="28"/>
          <w:szCs w:val="22"/>
          <w:highlight w:val="none"/>
          <w:lang w:val="en-US" w:eastAsia="zh-CN"/>
        </w:rPr>
      </w:pPr>
      <w:r>
        <w:rPr>
          <w:rFonts w:hint="eastAsia" w:ascii="仿宋" w:hAnsi="仿宋" w:eastAsia="仿宋" w:cs="仿宋"/>
          <w:b/>
          <w:color w:val="auto"/>
          <w:sz w:val="28"/>
          <w:szCs w:val="22"/>
          <w:highlight w:val="none"/>
          <w:lang w:val="en-US" w:eastAsia="zh-CN"/>
        </w:rPr>
        <w:t>三、评标方法</w:t>
      </w:r>
    </w:p>
    <w:p w14:paraId="79BB1798">
      <w:pPr>
        <w:spacing w:line="480" w:lineRule="exact"/>
        <w:ind w:firstLine="480"/>
        <w:jc w:val="left"/>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本项目采用综合评分法，评标结果按评审后得分由高到低顺序排列。得分相同的，按投标报价由低到高顺序排序。得分且投标报价相同的并列。</w:t>
      </w:r>
    </w:p>
    <w:p w14:paraId="0C7213F0">
      <w:pPr>
        <w:spacing w:line="480" w:lineRule="exact"/>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综合评分保留至小数点后两位。</w:t>
      </w:r>
    </w:p>
    <w:p w14:paraId="3E8D079C">
      <w:pPr>
        <w:spacing w:line="480" w:lineRule="exact"/>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评标委员会根据评标后投标人排序推荐中标候选人，并形成评标报告。</w:t>
      </w:r>
    </w:p>
    <w:p w14:paraId="0FDE673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color w:val="auto"/>
          <w:sz w:val="28"/>
          <w:szCs w:val="22"/>
          <w:highlight w:val="none"/>
          <w:lang w:val="en-US" w:eastAsia="zh-CN"/>
        </w:rPr>
      </w:pPr>
      <w:bookmarkStart w:id="145" w:name="EBe0cfd1035ea44f689f97db50fccddc8b"/>
      <w:r>
        <w:rPr>
          <w:rFonts w:hint="eastAsia" w:ascii="仿宋" w:hAnsi="仿宋" w:eastAsia="仿宋" w:cs="仿宋"/>
          <w:b/>
          <w:color w:val="auto"/>
          <w:sz w:val="28"/>
          <w:szCs w:val="22"/>
          <w:highlight w:val="none"/>
          <w:lang w:val="en-US" w:eastAsia="zh-CN"/>
        </w:rPr>
        <w:t>四、评标标准</w:t>
      </w:r>
    </w:p>
    <w:p w14:paraId="0D032208">
      <w:pPr>
        <w:rPr>
          <w:rFonts w:hint="eastAsia" w:ascii="仿宋" w:hAnsi="仿宋" w:eastAsia="仿宋" w:cs="仿宋"/>
          <w:color w:val="auto"/>
          <w:sz w:val="20"/>
          <w:highlight w:val="none"/>
        </w:rPr>
      </w:pPr>
      <w:r>
        <w:rPr>
          <w:rFonts w:hint="eastAsia" w:ascii="仿宋" w:hAnsi="仿宋" w:eastAsia="仿宋" w:cs="仿宋"/>
          <w:color w:val="auto"/>
          <w:sz w:val="20"/>
          <w:highlight w:val="none"/>
        </w:rPr>
        <w:t xml:space="preserve"> </w:t>
      </w:r>
      <w:bookmarkEnd w:id="145"/>
    </w:p>
    <w:tbl>
      <w:tblPr>
        <w:tblStyle w:val="2"/>
        <w:tblW w:w="5460" w:type="pct"/>
        <w:tblInd w:w="-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175"/>
        <w:gridCol w:w="1407"/>
        <w:gridCol w:w="7217"/>
      </w:tblGrid>
      <w:tr w14:paraId="262EA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172" w:type="dxa"/>
            <w:tcBorders>
              <w:tl2br w:val="nil"/>
              <w:tr2bl w:val="nil"/>
            </w:tcBorders>
            <w:noWrap w:val="0"/>
            <w:vAlign w:val="center"/>
          </w:tcPr>
          <w:p w14:paraId="3E7DCFB6">
            <w:pPr>
              <w:keepNext w:val="0"/>
              <w:keepLines w:val="0"/>
              <w:pageBreakBefore w:val="0"/>
              <w:widowControl w:val="0"/>
              <w:spacing w:line="360" w:lineRule="auto"/>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评审因素</w:t>
            </w:r>
          </w:p>
        </w:tc>
        <w:tc>
          <w:tcPr>
            <w:tcW w:w="1404" w:type="dxa"/>
            <w:tcBorders>
              <w:tl2br w:val="nil"/>
              <w:tr2bl w:val="nil"/>
            </w:tcBorders>
            <w:noWrap w:val="0"/>
            <w:vAlign w:val="center"/>
          </w:tcPr>
          <w:p w14:paraId="43D879C6">
            <w:pPr>
              <w:keepNext w:val="0"/>
              <w:keepLines w:val="0"/>
              <w:pageBreakBefore w:val="0"/>
              <w:widowControl w:val="0"/>
              <w:spacing w:line="360" w:lineRule="auto"/>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rPr>
              <w:t>分数</w:t>
            </w:r>
          </w:p>
        </w:tc>
        <w:tc>
          <w:tcPr>
            <w:tcW w:w="7201" w:type="dxa"/>
            <w:tcBorders>
              <w:tl2br w:val="nil"/>
              <w:tr2bl w:val="nil"/>
            </w:tcBorders>
            <w:noWrap w:val="0"/>
            <w:vAlign w:val="center"/>
          </w:tcPr>
          <w:p w14:paraId="5CC2F308">
            <w:pPr>
              <w:keepNext w:val="0"/>
              <w:keepLines w:val="0"/>
              <w:pageBreakBefore w:val="0"/>
              <w:widowControl w:val="0"/>
              <w:spacing w:line="360" w:lineRule="auto"/>
              <w:jc w:val="center"/>
              <w:rPr>
                <w:rFonts w:hint="default" w:ascii="仿宋" w:hAnsi="仿宋" w:eastAsia="仿宋" w:cs="仿宋"/>
                <w:color w:val="auto"/>
                <w:szCs w:val="22"/>
                <w:highlight w:val="none"/>
                <w:lang w:val="en-US" w:eastAsia="zh-CN"/>
              </w:rPr>
            </w:pPr>
            <w:r>
              <w:rPr>
                <w:rFonts w:hint="eastAsia" w:ascii="仿宋" w:hAnsi="仿宋" w:eastAsia="仿宋" w:cs="仿宋"/>
                <w:color w:val="auto"/>
                <w:szCs w:val="22"/>
                <w:highlight w:val="none"/>
                <w:lang w:val="en-US" w:eastAsia="zh-CN"/>
              </w:rPr>
              <w:t>评分标准</w:t>
            </w:r>
          </w:p>
        </w:tc>
      </w:tr>
      <w:tr w14:paraId="26742E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172" w:type="dxa"/>
            <w:tcBorders>
              <w:tl2br w:val="nil"/>
              <w:tr2bl w:val="nil"/>
            </w:tcBorders>
            <w:noWrap w:val="0"/>
            <w:vAlign w:val="center"/>
          </w:tcPr>
          <w:p w14:paraId="08EB5753">
            <w:pPr>
              <w:keepNext w:val="0"/>
              <w:keepLines w:val="0"/>
              <w:pageBreakBefore w:val="0"/>
              <w:widowControl w:val="0"/>
              <w:spacing w:line="360" w:lineRule="auto"/>
              <w:jc w:val="left"/>
              <w:rPr>
                <w:rFonts w:hint="eastAsia" w:ascii="仿宋" w:hAnsi="仿宋" w:eastAsia="仿宋" w:cs="仿宋"/>
                <w:color w:val="auto"/>
                <w:szCs w:val="22"/>
                <w:highlight w:val="none"/>
              </w:rPr>
            </w:pPr>
            <w:r>
              <w:rPr>
                <w:rFonts w:hint="eastAsia" w:ascii="仿宋" w:hAnsi="仿宋" w:eastAsia="仿宋" w:cs="仿宋"/>
                <w:color w:val="auto"/>
                <w:szCs w:val="22"/>
                <w:highlight w:val="none"/>
              </w:rPr>
              <w:t>投标报价</w:t>
            </w:r>
          </w:p>
        </w:tc>
        <w:tc>
          <w:tcPr>
            <w:tcW w:w="1404" w:type="dxa"/>
            <w:tcBorders>
              <w:tl2br w:val="nil"/>
              <w:tr2bl w:val="nil"/>
            </w:tcBorders>
            <w:noWrap w:val="0"/>
            <w:vAlign w:val="center"/>
          </w:tcPr>
          <w:p w14:paraId="0EF9C198">
            <w:pPr>
              <w:keepNext w:val="0"/>
              <w:keepLines w:val="0"/>
              <w:pageBreakBefore w:val="0"/>
              <w:widowControl w:val="0"/>
              <w:spacing w:line="360" w:lineRule="auto"/>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lang w:val="en-US" w:eastAsia="zh-CN"/>
              </w:rPr>
              <w:t>15</w:t>
            </w:r>
            <w:r>
              <w:rPr>
                <w:rFonts w:hint="eastAsia" w:ascii="仿宋" w:hAnsi="仿宋" w:eastAsia="仿宋" w:cs="仿宋"/>
                <w:color w:val="auto"/>
                <w:szCs w:val="22"/>
                <w:highlight w:val="none"/>
              </w:rPr>
              <w:t>.00分</w:t>
            </w:r>
          </w:p>
        </w:tc>
        <w:tc>
          <w:tcPr>
            <w:tcW w:w="7201" w:type="dxa"/>
            <w:tcBorders>
              <w:tl2br w:val="nil"/>
              <w:tr2bl w:val="nil"/>
            </w:tcBorders>
            <w:noWrap w:val="0"/>
            <w:vAlign w:val="center"/>
          </w:tcPr>
          <w:p w14:paraId="2B7A090D">
            <w:pPr>
              <w:keepNext w:val="0"/>
              <w:keepLines w:val="0"/>
              <w:pageBreakBefore w:val="0"/>
              <w:widowControl w:val="0"/>
              <w:spacing w:line="360" w:lineRule="auto"/>
              <w:jc w:val="left"/>
              <w:rPr>
                <w:rFonts w:hint="eastAsia" w:ascii="仿宋" w:hAnsi="仿宋" w:eastAsia="仿宋" w:cs="仿宋"/>
                <w:color w:val="auto"/>
                <w:szCs w:val="22"/>
                <w:highlight w:val="none"/>
              </w:rPr>
            </w:pPr>
            <w:r>
              <w:rPr>
                <w:rFonts w:hint="eastAsia" w:ascii="仿宋" w:hAnsi="仿宋" w:eastAsia="仿宋" w:cs="仿宋"/>
                <w:color w:val="auto"/>
                <w:szCs w:val="22"/>
                <w:highlight w:val="none"/>
              </w:rPr>
              <w:t>采用低价优先法计算，即满足招标文件要求且投标报价最低的报价为评审基准价，其价格分为满分。其他投标人报价得分＝（评标基准价/投标人报价）*</w:t>
            </w:r>
            <w:r>
              <w:rPr>
                <w:rFonts w:hint="eastAsia" w:ascii="仿宋" w:hAnsi="仿宋" w:eastAsia="仿宋" w:cs="仿宋"/>
                <w:color w:val="auto"/>
                <w:szCs w:val="22"/>
                <w:highlight w:val="none"/>
                <w:lang w:val="en-US" w:eastAsia="zh-CN"/>
              </w:rPr>
              <w:t>15</w:t>
            </w:r>
            <w:r>
              <w:rPr>
                <w:rFonts w:hint="eastAsia" w:ascii="仿宋" w:hAnsi="仿宋" w:eastAsia="仿宋" w:cs="仿宋"/>
                <w:color w:val="auto"/>
                <w:szCs w:val="22"/>
                <w:highlight w:val="none"/>
              </w:rPr>
              <w:t>。</w:t>
            </w:r>
            <w:r>
              <w:rPr>
                <w:rFonts w:hint="eastAsia" w:ascii="仿宋" w:hAnsi="仿宋" w:eastAsia="仿宋" w:cs="仿宋"/>
                <w:b/>
                <w:bCs/>
                <w:color w:val="auto"/>
                <w:szCs w:val="22"/>
                <w:highlight w:val="none"/>
                <w:rtl w:val="0"/>
                <w:lang w:val="en-US" w:eastAsia="zh-CN"/>
              </w:rPr>
              <w:t>符合条件的小微企业（含小型、微型企业）参与投标，对小型和微型企业产品的价格给予10%的扣除，用扣除后的价格参与评审。</w:t>
            </w:r>
          </w:p>
        </w:tc>
      </w:tr>
      <w:tr w14:paraId="1B396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172" w:type="dxa"/>
            <w:tcBorders>
              <w:tl2br w:val="nil"/>
              <w:tr2bl w:val="nil"/>
            </w:tcBorders>
            <w:noWrap w:val="0"/>
            <w:vAlign w:val="center"/>
          </w:tcPr>
          <w:p w14:paraId="562DF34D">
            <w:pPr>
              <w:keepNext w:val="0"/>
              <w:keepLines w:val="0"/>
              <w:pageBreakBefore w:val="0"/>
              <w:widowControl w:val="0"/>
              <w:spacing w:line="360" w:lineRule="auto"/>
              <w:jc w:val="left"/>
              <w:rPr>
                <w:rFonts w:hint="eastAsia" w:ascii="仿宋" w:hAnsi="仿宋" w:eastAsia="仿宋" w:cs="仿宋"/>
                <w:color w:val="auto"/>
                <w:szCs w:val="22"/>
                <w:highlight w:val="none"/>
              </w:rPr>
            </w:pPr>
            <w:r>
              <w:rPr>
                <w:rFonts w:hint="eastAsia" w:ascii="仿宋" w:hAnsi="仿宋" w:eastAsia="仿宋" w:cs="仿宋"/>
                <w:color w:val="auto"/>
                <w:szCs w:val="22"/>
                <w:highlight w:val="none"/>
              </w:rPr>
              <w:t>业绩</w:t>
            </w:r>
          </w:p>
        </w:tc>
        <w:tc>
          <w:tcPr>
            <w:tcW w:w="1404" w:type="dxa"/>
            <w:tcBorders>
              <w:tl2br w:val="nil"/>
              <w:tr2bl w:val="nil"/>
            </w:tcBorders>
            <w:noWrap w:val="0"/>
            <w:vAlign w:val="center"/>
          </w:tcPr>
          <w:p w14:paraId="223334E3">
            <w:pPr>
              <w:keepNext w:val="0"/>
              <w:keepLines w:val="0"/>
              <w:pageBreakBefore w:val="0"/>
              <w:widowControl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.00分</w:t>
            </w:r>
          </w:p>
        </w:tc>
        <w:tc>
          <w:tcPr>
            <w:tcW w:w="7201" w:type="dxa"/>
            <w:tcBorders>
              <w:tl2br w:val="nil"/>
              <w:tr2bl w:val="nil"/>
            </w:tcBorders>
            <w:noWrap w:val="0"/>
            <w:vAlign w:val="center"/>
          </w:tcPr>
          <w:p w14:paraId="690962D2">
            <w:pPr>
              <w:keepNext w:val="0"/>
              <w:keepLines w:val="0"/>
              <w:pageBreakBefore w:val="0"/>
              <w:widowControl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自2022年1月1日（以合同签订时间为准）以来，承担过类似</w:t>
            </w:r>
            <w:r>
              <w:rPr>
                <w:rFonts w:hint="eastAsia" w:ascii="仿宋" w:hAnsi="仿宋" w:eastAsia="仿宋" w:cs="仿宋"/>
                <w:color w:val="auto"/>
                <w:sz w:val="21"/>
                <w:szCs w:val="21"/>
                <w:highlight w:val="none"/>
                <w:lang w:val="en-US" w:eastAsia="zh-CN"/>
              </w:rPr>
              <w:t>项目业绩（包括国际湿地城市认证服务、国际湿地城市相关课题研究或国家（国际）重要湿地修复方案项目）的</w:t>
            </w:r>
            <w:r>
              <w:rPr>
                <w:rFonts w:hint="eastAsia" w:ascii="仿宋" w:hAnsi="仿宋" w:eastAsia="仿宋" w:cs="仿宋"/>
                <w:color w:val="auto"/>
                <w:sz w:val="21"/>
                <w:szCs w:val="21"/>
                <w:highlight w:val="none"/>
              </w:rPr>
              <w:t>，每有一个业绩得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分，最高得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p w14:paraId="2CEF7656">
            <w:pPr>
              <w:keepNext w:val="0"/>
              <w:keepLines w:val="0"/>
              <w:pageBreakBefore w:val="0"/>
              <w:widowControl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须提供技术服务</w:t>
            </w:r>
            <w:r>
              <w:rPr>
                <w:rFonts w:hint="eastAsia" w:ascii="仿宋" w:hAnsi="仿宋" w:eastAsia="仿宋" w:cs="仿宋"/>
                <w:color w:val="auto"/>
                <w:sz w:val="21"/>
                <w:szCs w:val="21"/>
                <w:highlight w:val="none"/>
              </w:rPr>
              <w:t>合同</w:t>
            </w:r>
            <w:r>
              <w:rPr>
                <w:rFonts w:hint="eastAsia" w:ascii="仿宋" w:hAnsi="仿宋" w:eastAsia="仿宋" w:cs="仿宋"/>
                <w:color w:val="auto"/>
                <w:sz w:val="21"/>
                <w:szCs w:val="21"/>
                <w:highlight w:val="none"/>
                <w:lang w:val="en-US" w:eastAsia="zh-CN"/>
              </w:rPr>
              <w:t>证明材料；</w:t>
            </w:r>
            <w:r>
              <w:rPr>
                <w:rFonts w:hint="eastAsia" w:ascii="仿宋" w:hAnsi="仿宋" w:eastAsia="仿宋" w:cs="仿宋"/>
                <w:color w:val="auto"/>
                <w:sz w:val="21"/>
                <w:szCs w:val="21"/>
                <w:highlight w:val="none"/>
                <w:lang w:val="en-US" w:eastAsia="zh-CN"/>
              </w:rPr>
              <w:t>证明材料</w:t>
            </w:r>
            <w:r>
              <w:rPr>
                <w:rFonts w:hint="eastAsia" w:ascii="仿宋" w:hAnsi="仿宋" w:eastAsia="仿宋" w:cs="仿宋"/>
                <w:color w:val="auto"/>
                <w:sz w:val="21"/>
                <w:szCs w:val="21"/>
                <w:highlight w:val="none"/>
              </w:rPr>
              <w:t>中主要内容、标的等需清晰可见，未提供或</w:t>
            </w:r>
            <w:r>
              <w:rPr>
                <w:rFonts w:hint="eastAsia" w:ascii="仿宋" w:hAnsi="仿宋" w:eastAsia="仿宋" w:cs="仿宋"/>
                <w:color w:val="auto"/>
                <w:sz w:val="21"/>
                <w:szCs w:val="21"/>
                <w:highlight w:val="none"/>
                <w:lang w:val="en-US" w:eastAsia="zh-CN"/>
              </w:rPr>
              <w:t>提供不全或</w:t>
            </w:r>
            <w:r>
              <w:rPr>
                <w:rFonts w:hint="eastAsia" w:ascii="仿宋" w:hAnsi="仿宋" w:eastAsia="仿宋" w:cs="仿宋"/>
                <w:color w:val="auto"/>
                <w:sz w:val="21"/>
                <w:szCs w:val="21"/>
                <w:highlight w:val="none"/>
              </w:rPr>
              <w:t>字迹模糊不清不得分。</w:t>
            </w:r>
          </w:p>
        </w:tc>
      </w:tr>
      <w:tr w14:paraId="32A55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172" w:type="dxa"/>
            <w:tcBorders>
              <w:tl2br w:val="nil"/>
              <w:tr2bl w:val="nil"/>
            </w:tcBorders>
            <w:noWrap w:val="0"/>
            <w:vAlign w:val="center"/>
          </w:tcPr>
          <w:p w14:paraId="0F56A2F9">
            <w:pPr>
              <w:keepNext w:val="0"/>
              <w:keepLines w:val="0"/>
              <w:pageBreakBefore w:val="0"/>
              <w:widowControl w:val="0"/>
              <w:spacing w:line="360" w:lineRule="auto"/>
              <w:jc w:val="left"/>
              <w:rPr>
                <w:rFonts w:hint="eastAsia" w:ascii="仿宋" w:hAnsi="仿宋" w:eastAsia="仿宋" w:cs="仿宋"/>
                <w:color w:val="auto"/>
                <w:szCs w:val="22"/>
                <w:highlight w:val="none"/>
              </w:rPr>
            </w:pPr>
            <w:r>
              <w:rPr>
                <w:rFonts w:hint="eastAsia" w:ascii="仿宋" w:hAnsi="仿宋" w:eastAsia="仿宋" w:cs="仿宋"/>
                <w:color w:val="auto"/>
                <w:szCs w:val="22"/>
                <w:highlight w:val="none"/>
              </w:rPr>
              <w:t>人员配置</w:t>
            </w:r>
          </w:p>
        </w:tc>
        <w:tc>
          <w:tcPr>
            <w:tcW w:w="1404" w:type="dxa"/>
            <w:tcBorders>
              <w:tl2br w:val="nil"/>
              <w:tr2bl w:val="nil"/>
            </w:tcBorders>
            <w:noWrap w:val="0"/>
            <w:vAlign w:val="center"/>
          </w:tcPr>
          <w:p w14:paraId="75AB6527">
            <w:pPr>
              <w:keepNext w:val="0"/>
              <w:keepLines w:val="0"/>
              <w:pageBreakBefore w:val="0"/>
              <w:widowControl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Cs w:val="22"/>
                <w:highlight w:val="none"/>
                <w:rtl w:val="0"/>
                <w:lang w:val="en-US" w:eastAsia="zh-CN"/>
              </w:rPr>
              <w:t>20.00分</w:t>
            </w:r>
          </w:p>
        </w:tc>
        <w:tc>
          <w:tcPr>
            <w:tcW w:w="7201" w:type="dxa"/>
            <w:tcBorders>
              <w:tl2br w:val="nil"/>
              <w:tr2bl w:val="nil"/>
            </w:tcBorders>
            <w:noWrap w:val="0"/>
            <w:vAlign w:val="center"/>
          </w:tcPr>
          <w:p w14:paraId="35A3E460">
            <w:pPr>
              <w:keepNext w:val="0"/>
              <w:keepLines w:val="0"/>
              <w:pageBreakBefore w:val="0"/>
              <w:widowControl w:val="0"/>
              <w:spacing w:line="360" w:lineRule="auto"/>
              <w:jc w:val="left"/>
              <w:rPr>
                <w:rFonts w:hint="default" w:ascii="仿宋" w:hAnsi="仿宋" w:eastAsia="仿宋" w:cs="仿宋"/>
                <w:color w:val="auto"/>
                <w:szCs w:val="22"/>
                <w:highlight w:val="none"/>
                <w:rtl w:val="0"/>
                <w:lang w:val="en-US" w:eastAsia="zh-CN"/>
              </w:rPr>
            </w:pPr>
            <w:r>
              <w:rPr>
                <w:rFonts w:hint="eastAsia" w:ascii="仿宋" w:hAnsi="仿宋" w:eastAsia="仿宋" w:cs="仿宋"/>
                <w:color w:val="auto"/>
                <w:szCs w:val="22"/>
                <w:highlight w:val="none"/>
                <w:rtl w:val="0"/>
                <w:lang w:val="en-US" w:eastAsia="zh-CN"/>
              </w:rPr>
              <w:t>1.项目负责人具有林业相关专业</w:t>
            </w:r>
            <w:r>
              <w:rPr>
                <w:rFonts w:hint="eastAsia" w:ascii="仿宋" w:hAnsi="仿宋" w:eastAsia="仿宋" w:cs="仿宋"/>
                <w:b/>
                <w:bCs/>
                <w:color w:val="auto"/>
                <w:szCs w:val="22"/>
                <w:highlight w:val="none"/>
                <w:rtl w:val="0"/>
                <w:lang w:val="en-US" w:eastAsia="zh-CN"/>
              </w:rPr>
              <w:t>正高级</w:t>
            </w:r>
            <w:r>
              <w:rPr>
                <w:rFonts w:hint="eastAsia" w:ascii="仿宋" w:hAnsi="仿宋" w:eastAsia="仿宋" w:cs="仿宋"/>
                <w:color w:val="auto"/>
                <w:szCs w:val="22"/>
                <w:highlight w:val="none"/>
                <w:rtl w:val="0"/>
                <w:lang w:val="en-US" w:eastAsia="zh-CN"/>
              </w:rPr>
              <w:t>及以上职称证书的得5分。</w:t>
            </w:r>
          </w:p>
          <w:p w14:paraId="3DB4764F">
            <w:pPr>
              <w:keepNext w:val="0"/>
              <w:keepLines w:val="0"/>
              <w:pageBreakBefore w:val="0"/>
              <w:widowControl w:val="0"/>
              <w:spacing w:line="360" w:lineRule="auto"/>
              <w:jc w:val="left"/>
              <w:rPr>
                <w:rFonts w:hint="eastAsia" w:ascii="仿宋" w:hAnsi="仿宋" w:eastAsia="仿宋" w:cs="仿宋"/>
                <w:color w:val="auto"/>
                <w:szCs w:val="22"/>
                <w:highlight w:val="none"/>
                <w:rtl w:val="0"/>
                <w:lang w:val="en-US" w:eastAsia="zh-CN"/>
              </w:rPr>
            </w:pPr>
            <w:r>
              <w:rPr>
                <w:rFonts w:hint="eastAsia" w:ascii="仿宋" w:hAnsi="仿宋" w:eastAsia="仿宋" w:cs="仿宋"/>
                <w:color w:val="auto"/>
                <w:szCs w:val="22"/>
                <w:highlight w:val="none"/>
                <w:rtl w:val="0"/>
                <w:lang w:val="en-US" w:eastAsia="zh-CN"/>
              </w:rPr>
              <w:t>2.项目组其他成员（项目负责人除外）具有</w:t>
            </w:r>
            <w:r>
              <w:rPr>
                <w:rFonts w:hint="eastAsia" w:ascii="仿宋" w:hAnsi="仿宋" w:eastAsia="仿宋" w:cs="仿宋"/>
                <w:color w:val="auto"/>
                <w:szCs w:val="22"/>
                <w:highlight w:val="none"/>
                <w:rtl w:val="0"/>
                <w:lang w:val="en-US" w:eastAsia="zh-CN"/>
              </w:rPr>
              <w:t>林业相关专业</w:t>
            </w:r>
            <w:r>
              <w:rPr>
                <w:rFonts w:hint="eastAsia" w:ascii="仿宋" w:hAnsi="仿宋" w:eastAsia="仿宋" w:cs="仿宋"/>
                <w:b/>
                <w:bCs/>
                <w:color w:val="auto"/>
                <w:szCs w:val="22"/>
                <w:highlight w:val="none"/>
                <w:rtl w:val="0"/>
                <w:lang w:val="en-US" w:eastAsia="zh-CN"/>
              </w:rPr>
              <w:t>正高级</w:t>
            </w:r>
            <w:r>
              <w:rPr>
                <w:rFonts w:hint="eastAsia" w:ascii="仿宋" w:hAnsi="仿宋" w:eastAsia="仿宋" w:cs="仿宋"/>
                <w:color w:val="auto"/>
                <w:szCs w:val="22"/>
                <w:highlight w:val="none"/>
                <w:rtl w:val="0"/>
                <w:lang w:val="en-US" w:eastAsia="zh-CN"/>
              </w:rPr>
              <w:t>及以上职称证书，每提供一人得5分；</w:t>
            </w:r>
            <w:r>
              <w:rPr>
                <w:rFonts w:hint="eastAsia" w:ascii="仿宋" w:hAnsi="仿宋" w:eastAsia="仿宋" w:cs="仿宋"/>
                <w:color w:val="auto"/>
                <w:szCs w:val="22"/>
                <w:highlight w:val="none"/>
                <w:rtl w:val="0"/>
                <w:lang w:val="en-US" w:eastAsia="zh-CN"/>
              </w:rPr>
              <w:t>具有</w:t>
            </w:r>
            <w:r>
              <w:rPr>
                <w:rFonts w:hint="eastAsia" w:ascii="仿宋" w:hAnsi="仿宋" w:eastAsia="仿宋" w:cs="仿宋"/>
                <w:color w:val="auto"/>
                <w:szCs w:val="22"/>
                <w:highlight w:val="none"/>
                <w:rtl w:val="0"/>
                <w:lang w:val="en-US" w:eastAsia="zh-CN"/>
              </w:rPr>
              <w:t>林业相关专业高级职称证书，每提供一人得3分；本项最高得15分。</w:t>
            </w:r>
          </w:p>
          <w:p w14:paraId="6A327984">
            <w:pPr>
              <w:keepNext w:val="0"/>
              <w:keepLines w:val="0"/>
              <w:pageBreakBefore w:val="0"/>
              <w:widowControl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Cs w:val="22"/>
                <w:highlight w:val="none"/>
                <w:rtl w:val="0"/>
                <w:lang w:val="en-US" w:eastAsia="zh-CN"/>
              </w:rPr>
              <w:t>注：（1）同一人员不重复计分，仅按最高证书等级计算得分；（2）</w:t>
            </w:r>
            <w:r>
              <w:rPr>
                <w:rFonts w:hint="eastAsia" w:ascii="仿宋" w:hAnsi="仿宋" w:eastAsia="仿宋" w:cs="仿宋"/>
                <w:color w:val="auto"/>
                <w:kern w:val="0"/>
                <w:sz w:val="21"/>
                <w:szCs w:val="21"/>
                <w:highlight w:val="none"/>
                <w:lang w:val="en-US" w:eastAsia="zh-CN" w:bidi="ar-SA"/>
              </w:rPr>
              <w:t>提供职称证书原件扫描件，如职称证书没有专业的，需提供《专业技术资格评审申请表》原件扫描件，以评审专业为准，否则不得分；（3）</w:t>
            </w:r>
            <w:r>
              <w:rPr>
                <w:rFonts w:hint="eastAsia" w:ascii="仿宋" w:hAnsi="仿宋" w:eastAsia="仿宋" w:cs="仿宋"/>
                <w:color w:val="auto"/>
                <w:szCs w:val="22"/>
                <w:highlight w:val="none"/>
                <w:rtl w:val="0"/>
                <w:lang w:val="en-US" w:eastAsia="zh-CN"/>
              </w:rPr>
              <w:t>提供投标人2025年5月以来为其缴纳的任意1个月的社保证明材料。</w:t>
            </w:r>
          </w:p>
        </w:tc>
      </w:tr>
      <w:tr w14:paraId="3D840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172" w:type="dxa"/>
            <w:tcBorders>
              <w:tl2br w:val="nil"/>
              <w:tr2bl w:val="nil"/>
            </w:tcBorders>
            <w:noWrap w:val="0"/>
            <w:vAlign w:val="center"/>
          </w:tcPr>
          <w:p w14:paraId="19805F98">
            <w:pPr>
              <w:keepNext w:val="0"/>
              <w:keepLines w:val="0"/>
              <w:pageBreakBefore w:val="0"/>
              <w:widowControl w:val="0"/>
              <w:spacing w:line="360" w:lineRule="auto"/>
              <w:jc w:val="left"/>
              <w:rPr>
                <w:rFonts w:hint="eastAsia" w:ascii="仿宋" w:hAnsi="仿宋" w:eastAsia="仿宋" w:cs="仿宋"/>
                <w:color w:val="auto"/>
                <w:szCs w:val="22"/>
                <w:highlight w:val="none"/>
                <w:lang w:val="en-US" w:eastAsia="zh-CN"/>
              </w:rPr>
            </w:pPr>
            <w:r>
              <w:rPr>
                <w:rFonts w:hint="eastAsia" w:ascii="仿宋" w:hAnsi="仿宋" w:eastAsia="仿宋" w:cs="仿宋"/>
                <w:color w:val="auto"/>
                <w:szCs w:val="22"/>
                <w:highlight w:val="none"/>
                <w:rtl w:val="0"/>
                <w:lang w:val="en-US" w:eastAsia="zh-CN"/>
              </w:rPr>
              <w:t>整体思路</w:t>
            </w:r>
          </w:p>
        </w:tc>
        <w:tc>
          <w:tcPr>
            <w:tcW w:w="1404" w:type="dxa"/>
            <w:tcBorders>
              <w:tl2br w:val="nil"/>
              <w:tr2bl w:val="nil"/>
            </w:tcBorders>
            <w:noWrap w:val="0"/>
            <w:vAlign w:val="center"/>
          </w:tcPr>
          <w:p w14:paraId="3C8C246D">
            <w:pPr>
              <w:keepNext w:val="0"/>
              <w:keepLines w:val="0"/>
              <w:pageBreakBefore w:val="0"/>
              <w:widowControl w:val="0"/>
              <w:spacing w:line="360" w:lineRule="auto"/>
              <w:jc w:val="center"/>
              <w:rPr>
                <w:rFonts w:hint="eastAsia" w:ascii="仿宋" w:hAnsi="仿宋" w:eastAsia="仿宋" w:cs="仿宋"/>
                <w:color w:val="auto"/>
                <w:szCs w:val="22"/>
                <w:highlight w:val="none"/>
              </w:rPr>
            </w:pPr>
            <w:r>
              <w:rPr>
                <w:rFonts w:hint="eastAsia" w:ascii="仿宋" w:hAnsi="仿宋" w:eastAsia="仿宋" w:cs="仿宋"/>
                <w:color w:val="auto"/>
                <w:szCs w:val="22"/>
                <w:highlight w:val="none"/>
                <w:lang w:val="en-US" w:eastAsia="zh-CN"/>
              </w:rPr>
              <w:t>10</w:t>
            </w:r>
            <w:r>
              <w:rPr>
                <w:rFonts w:hint="eastAsia" w:ascii="仿宋" w:hAnsi="仿宋" w:eastAsia="仿宋" w:cs="仿宋"/>
                <w:color w:val="auto"/>
                <w:szCs w:val="22"/>
                <w:highlight w:val="none"/>
              </w:rPr>
              <w:t>.00分</w:t>
            </w:r>
          </w:p>
        </w:tc>
        <w:tc>
          <w:tcPr>
            <w:tcW w:w="7201" w:type="dxa"/>
            <w:tcBorders>
              <w:tl2br w:val="nil"/>
              <w:tr2bl w:val="nil"/>
            </w:tcBorders>
            <w:noWrap w:val="0"/>
            <w:vAlign w:val="center"/>
          </w:tcPr>
          <w:p w14:paraId="79B4B382">
            <w:pPr>
              <w:keepNext w:val="0"/>
              <w:keepLines w:val="0"/>
              <w:pageBreakBefore w:val="0"/>
              <w:widowControl w:val="0"/>
              <w:spacing w:line="360" w:lineRule="auto"/>
              <w:jc w:val="left"/>
              <w:rPr>
                <w:rFonts w:hint="eastAsia" w:ascii="仿宋" w:hAnsi="仿宋" w:eastAsia="仿宋" w:cs="仿宋"/>
                <w:color w:val="auto"/>
                <w:szCs w:val="22"/>
                <w:highlight w:val="none"/>
                <w:rtl w:val="0"/>
                <w:lang w:val="en-US" w:eastAsia="zh-CN"/>
              </w:rPr>
            </w:pPr>
            <w:r>
              <w:rPr>
                <w:rFonts w:hint="eastAsia" w:ascii="仿宋" w:hAnsi="仿宋" w:eastAsia="仿宋" w:cs="仿宋"/>
                <w:color w:val="auto"/>
                <w:szCs w:val="22"/>
                <w:highlight w:val="none"/>
                <w:rtl w:val="0"/>
                <w:lang w:val="en-US" w:eastAsia="zh-CN"/>
              </w:rPr>
              <w:t>根据</w:t>
            </w:r>
            <w:r>
              <w:rPr>
                <w:rFonts w:hint="eastAsia" w:ascii="仿宋" w:hAnsi="仿宋" w:eastAsia="仿宋" w:cs="仿宋"/>
                <w:color w:val="auto"/>
                <w:szCs w:val="22"/>
                <w:highlight w:val="none"/>
                <w:lang w:val="en-US" w:eastAsia="zh-CN"/>
              </w:rPr>
              <w:t>投标人</w:t>
            </w:r>
            <w:r>
              <w:rPr>
                <w:rFonts w:hint="eastAsia" w:ascii="仿宋" w:hAnsi="仿宋" w:eastAsia="仿宋" w:cs="仿宋"/>
                <w:color w:val="auto"/>
                <w:szCs w:val="22"/>
                <w:highlight w:val="none"/>
                <w:rtl w:val="0"/>
                <w:lang w:val="en-US" w:eastAsia="zh-CN"/>
              </w:rPr>
              <w:t>对本项目实施的现状分析理解、整体思路及对服务需求理解程度进行打分。方案内容详实、逻辑清晰合理、可操作性强、优于采购需求的得10分；方案内容较详实、逻辑较清晰合理、可操作性较强、满足采购需求的得8分；方案内容不详细、描述不清晰、基本满足采购需求得6分；</w:t>
            </w:r>
            <w:r>
              <w:rPr>
                <w:rFonts w:hint="eastAsia" w:ascii="仿宋" w:hAnsi="仿宋" w:eastAsia="仿宋" w:cs="仿宋"/>
                <w:color w:val="auto"/>
                <w:szCs w:val="22"/>
                <w:highlight w:val="none"/>
              </w:rPr>
              <w:t>方案内容欠缺，</w:t>
            </w:r>
            <w:r>
              <w:rPr>
                <w:rFonts w:hint="eastAsia" w:ascii="仿宋" w:hAnsi="仿宋" w:eastAsia="仿宋" w:cs="仿宋"/>
                <w:color w:val="auto"/>
                <w:szCs w:val="22"/>
                <w:highlight w:val="none"/>
                <w:lang w:val="en-US" w:eastAsia="zh-CN"/>
              </w:rPr>
              <w:t>承诺</w:t>
            </w:r>
            <w:r>
              <w:rPr>
                <w:rFonts w:hint="eastAsia" w:ascii="仿宋" w:hAnsi="仿宋" w:eastAsia="仿宋" w:cs="仿宋"/>
                <w:color w:val="auto"/>
                <w:szCs w:val="22"/>
                <w:highlight w:val="none"/>
              </w:rPr>
              <w:t>通过后期优化能满足采购需求</w:t>
            </w:r>
            <w:r>
              <w:rPr>
                <w:rFonts w:hint="eastAsia" w:ascii="仿宋" w:hAnsi="仿宋" w:eastAsia="仿宋" w:cs="仿宋"/>
                <w:color w:val="auto"/>
                <w:szCs w:val="22"/>
                <w:highlight w:val="none"/>
                <w:rtl w:val="0"/>
                <w:lang w:val="en-US" w:eastAsia="zh-CN"/>
              </w:rPr>
              <w:t>通过后期优化可以满足采购需求的得4分；没有内容或不满足招标文件需求的不得分。</w:t>
            </w:r>
          </w:p>
        </w:tc>
      </w:tr>
      <w:tr w14:paraId="0D066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172" w:type="dxa"/>
            <w:tcBorders>
              <w:tl2br w:val="nil"/>
              <w:tr2bl w:val="nil"/>
            </w:tcBorders>
            <w:noWrap w:val="0"/>
            <w:vAlign w:val="center"/>
          </w:tcPr>
          <w:p w14:paraId="4ACFBB70">
            <w:pPr>
              <w:keepNext w:val="0"/>
              <w:keepLines w:val="0"/>
              <w:pageBreakBefore w:val="0"/>
              <w:widowControl w:val="0"/>
              <w:spacing w:line="360" w:lineRule="auto"/>
              <w:jc w:val="left"/>
              <w:rPr>
                <w:rFonts w:hint="eastAsia" w:ascii="仿宋" w:hAnsi="仿宋" w:eastAsia="仿宋" w:cs="仿宋"/>
                <w:color w:val="auto"/>
                <w:szCs w:val="22"/>
                <w:highlight w:val="none"/>
              </w:rPr>
            </w:pPr>
            <w:r>
              <w:rPr>
                <w:rFonts w:hint="eastAsia" w:ascii="仿宋" w:hAnsi="仿宋" w:eastAsia="仿宋" w:cs="仿宋"/>
                <w:color w:val="auto"/>
                <w:szCs w:val="22"/>
                <w:highlight w:val="none"/>
                <w:rtl w:val="0"/>
                <w:lang w:val="en-US" w:eastAsia="zh-CN"/>
              </w:rPr>
              <w:t>重难点分析</w:t>
            </w:r>
          </w:p>
          <w:p w14:paraId="20E8DB4D">
            <w:pPr>
              <w:keepNext w:val="0"/>
              <w:keepLines w:val="0"/>
              <w:pageBreakBefore w:val="0"/>
              <w:widowControl w:val="0"/>
              <w:spacing w:line="360" w:lineRule="auto"/>
              <w:jc w:val="left"/>
              <w:rPr>
                <w:rFonts w:hint="eastAsia" w:ascii="仿宋" w:hAnsi="仿宋" w:eastAsia="仿宋" w:cs="仿宋"/>
                <w:color w:val="auto"/>
                <w:szCs w:val="22"/>
                <w:highlight w:val="none"/>
                <w:rtl w:val="0"/>
                <w:lang w:val="en-US" w:eastAsia="zh-CN"/>
              </w:rPr>
            </w:pPr>
          </w:p>
        </w:tc>
        <w:tc>
          <w:tcPr>
            <w:tcW w:w="1404" w:type="dxa"/>
            <w:tcBorders>
              <w:tl2br w:val="nil"/>
              <w:tr2bl w:val="nil"/>
            </w:tcBorders>
            <w:noWrap w:val="0"/>
            <w:vAlign w:val="center"/>
          </w:tcPr>
          <w:p w14:paraId="7FB9A991">
            <w:pPr>
              <w:keepNext w:val="0"/>
              <w:keepLines w:val="0"/>
              <w:pageBreakBefore w:val="0"/>
              <w:widowControl w:val="0"/>
              <w:spacing w:line="360" w:lineRule="auto"/>
              <w:jc w:val="center"/>
              <w:rPr>
                <w:rFonts w:hint="eastAsia" w:ascii="仿宋" w:hAnsi="仿宋" w:eastAsia="仿宋" w:cs="仿宋"/>
                <w:color w:val="auto"/>
                <w:szCs w:val="22"/>
                <w:highlight w:val="none"/>
                <w:rtl w:val="0"/>
                <w:lang w:val="en-US" w:eastAsia="zh-CN"/>
              </w:rPr>
            </w:pPr>
            <w:r>
              <w:rPr>
                <w:rFonts w:hint="eastAsia" w:ascii="仿宋" w:hAnsi="仿宋" w:eastAsia="仿宋" w:cs="仿宋"/>
                <w:color w:val="auto"/>
                <w:szCs w:val="22"/>
                <w:highlight w:val="none"/>
                <w:rtl w:val="0"/>
                <w:lang w:val="en-US" w:eastAsia="zh-CN"/>
              </w:rPr>
              <w:t>15.00分</w:t>
            </w:r>
          </w:p>
        </w:tc>
        <w:tc>
          <w:tcPr>
            <w:tcW w:w="7201" w:type="dxa"/>
            <w:tcBorders>
              <w:tl2br w:val="nil"/>
              <w:tr2bl w:val="nil"/>
            </w:tcBorders>
            <w:noWrap w:val="0"/>
            <w:vAlign w:val="center"/>
          </w:tcPr>
          <w:p w14:paraId="439F93F8">
            <w:pPr>
              <w:keepNext w:val="0"/>
              <w:keepLines w:val="0"/>
              <w:pageBreakBefore w:val="0"/>
              <w:widowControl w:val="0"/>
              <w:spacing w:line="360" w:lineRule="auto"/>
              <w:jc w:val="left"/>
              <w:rPr>
                <w:rFonts w:hint="eastAsia" w:ascii="仿宋" w:hAnsi="仿宋" w:eastAsia="仿宋" w:cs="仿宋"/>
                <w:color w:val="auto"/>
                <w:szCs w:val="22"/>
                <w:highlight w:val="none"/>
                <w:rtl w:val="0"/>
                <w:lang w:val="en-US" w:eastAsia="zh-CN"/>
              </w:rPr>
            </w:pPr>
            <w:r>
              <w:rPr>
                <w:rFonts w:hint="eastAsia" w:ascii="仿宋" w:hAnsi="仿宋" w:eastAsia="仿宋" w:cs="仿宋"/>
                <w:color w:val="auto"/>
                <w:szCs w:val="22"/>
                <w:highlight w:val="none"/>
                <w:rtl w:val="0"/>
                <w:lang w:val="en-US" w:eastAsia="zh-CN"/>
              </w:rPr>
              <w:t>投标人根据采购需求中“服务内容及要求”提供项目重点难点分析。能精准提出项目中的重点、难点，对问题点有准确的认识，并对此提供的切合实际的解决方案且对策的分析清晰，优于采购需求的得15分；能提出项目中的关键问题点，提供的解决方案能够满足采购文件要求的得12分；能提出项目中部分重点、难点，提供的解决方案笼统且对策分析欠缺的得9分；承诺经过后期优化可基本满足招标文件要求的得6分；没有内容或其他情况不满足招标文件需求的不得分。</w:t>
            </w:r>
          </w:p>
        </w:tc>
      </w:tr>
      <w:tr w14:paraId="4B214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172" w:type="dxa"/>
            <w:tcBorders>
              <w:tl2br w:val="nil"/>
              <w:tr2bl w:val="nil"/>
            </w:tcBorders>
            <w:noWrap w:val="0"/>
            <w:vAlign w:val="center"/>
          </w:tcPr>
          <w:p w14:paraId="10F9663B">
            <w:pPr>
              <w:keepNext w:val="0"/>
              <w:keepLines w:val="0"/>
              <w:pageBreakBefore w:val="0"/>
              <w:widowControl w:val="0"/>
              <w:spacing w:line="360" w:lineRule="auto"/>
              <w:jc w:val="left"/>
              <w:rPr>
                <w:rFonts w:hint="eastAsia" w:ascii="仿宋" w:hAnsi="仿宋" w:eastAsia="仿宋" w:cs="仿宋"/>
                <w:color w:val="auto"/>
                <w:szCs w:val="22"/>
                <w:highlight w:val="none"/>
                <w:rtl w:val="0"/>
                <w:lang w:val="en-US" w:eastAsia="zh-CN"/>
              </w:rPr>
            </w:pPr>
            <w:r>
              <w:rPr>
                <w:rFonts w:hint="eastAsia" w:ascii="仿宋" w:hAnsi="仿宋" w:eastAsia="仿宋" w:cs="仿宋"/>
                <w:color w:val="auto"/>
                <w:szCs w:val="22"/>
                <w:highlight w:val="none"/>
                <w:rtl w:val="0"/>
                <w:lang w:val="en-US" w:eastAsia="zh-CN"/>
              </w:rPr>
              <w:t>质量保障措施</w:t>
            </w:r>
          </w:p>
        </w:tc>
        <w:tc>
          <w:tcPr>
            <w:tcW w:w="1404" w:type="dxa"/>
            <w:tcBorders>
              <w:tl2br w:val="nil"/>
              <w:tr2bl w:val="nil"/>
            </w:tcBorders>
            <w:noWrap w:val="0"/>
            <w:vAlign w:val="center"/>
          </w:tcPr>
          <w:p w14:paraId="00D85BE4">
            <w:pPr>
              <w:keepNext w:val="0"/>
              <w:keepLines w:val="0"/>
              <w:pageBreakBefore w:val="0"/>
              <w:widowControl w:val="0"/>
              <w:spacing w:line="360" w:lineRule="auto"/>
              <w:jc w:val="center"/>
              <w:rPr>
                <w:rFonts w:hint="eastAsia" w:ascii="仿宋" w:hAnsi="仿宋" w:eastAsia="仿宋" w:cs="仿宋"/>
                <w:color w:val="auto"/>
                <w:szCs w:val="22"/>
                <w:highlight w:val="none"/>
                <w:rtl w:val="0"/>
                <w:lang w:val="en-US" w:eastAsia="zh-CN"/>
              </w:rPr>
            </w:pPr>
            <w:r>
              <w:rPr>
                <w:rFonts w:hint="eastAsia" w:ascii="仿宋" w:hAnsi="仿宋" w:eastAsia="仿宋" w:cs="仿宋"/>
                <w:color w:val="auto"/>
                <w:szCs w:val="22"/>
                <w:highlight w:val="none"/>
                <w:rtl w:val="0"/>
                <w:lang w:val="en-US" w:eastAsia="zh-CN"/>
              </w:rPr>
              <w:t>10.00分</w:t>
            </w:r>
          </w:p>
        </w:tc>
        <w:tc>
          <w:tcPr>
            <w:tcW w:w="7201" w:type="dxa"/>
            <w:tcBorders>
              <w:tl2br w:val="nil"/>
              <w:tr2bl w:val="nil"/>
            </w:tcBorders>
            <w:noWrap w:val="0"/>
            <w:vAlign w:val="center"/>
          </w:tcPr>
          <w:p w14:paraId="7225807E">
            <w:pPr>
              <w:keepNext w:val="0"/>
              <w:keepLines w:val="0"/>
              <w:pageBreakBefore w:val="0"/>
              <w:widowControl w:val="0"/>
              <w:spacing w:line="360" w:lineRule="auto"/>
              <w:jc w:val="left"/>
              <w:rPr>
                <w:rFonts w:hint="eastAsia" w:ascii="仿宋" w:hAnsi="仿宋" w:eastAsia="仿宋" w:cs="仿宋"/>
                <w:color w:val="auto"/>
                <w:szCs w:val="22"/>
                <w:highlight w:val="none"/>
                <w:rtl w:val="0"/>
                <w:lang w:val="en-US" w:eastAsia="zh-CN"/>
              </w:rPr>
            </w:pPr>
            <w:r>
              <w:rPr>
                <w:rFonts w:hint="eastAsia" w:ascii="仿宋" w:hAnsi="仿宋" w:eastAsia="仿宋" w:cs="仿宋"/>
                <w:color w:val="auto"/>
                <w:szCs w:val="22"/>
                <w:highlight w:val="none"/>
                <w:rtl w:val="0"/>
                <w:lang w:val="en-US" w:eastAsia="zh-CN"/>
              </w:rPr>
              <w:t>根据投标人制定项目质量保障措施进行评审。对可能产生的质量问题分析归纳条理清楚，采取的质量保障措施具体、有效且优于采购需求的得10分；分析归纳详细、质量保证措施完整、满足采购需求的得8分；分析归纳较详细、质量保证措施较完整、基本满足采购需求的得6分；措施有欠缺，承诺经过后期优化可基本满足招标文件要求的得4分；没有内容或其他情况不满足招标文件需求的不得分。</w:t>
            </w:r>
          </w:p>
        </w:tc>
      </w:tr>
      <w:tr w14:paraId="66FD2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2" w:hRule="atLeast"/>
        </w:trPr>
        <w:tc>
          <w:tcPr>
            <w:tcW w:w="1172" w:type="dxa"/>
            <w:tcBorders>
              <w:tl2br w:val="nil"/>
              <w:tr2bl w:val="nil"/>
            </w:tcBorders>
            <w:noWrap w:val="0"/>
            <w:vAlign w:val="center"/>
          </w:tcPr>
          <w:p w14:paraId="7FEBB373">
            <w:pPr>
              <w:keepNext w:val="0"/>
              <w:keepLines w:val="0"/>
              <w:pageBreakBefore w:val="0"/>
              <w:widowControl w:val="0"/>
              <w:spacing w:line="360" w:lineRule="auto"/>
              <w:jc w:val="left"/>
              <w:rPr>
                <w:rFonts w:hint="eastAsia" w:ascii="仿宋" w:hAnsi="仿宋" w:eastAsia="仿宋" w:cs="仿宋"/>
                <w:color w:val="auto"/>
                <w:szCs w:val="22"/>
                <w:highlight w:val="none"/>
                <w:rtl w:val="0"/>
                <w:lang w:val="en-US" w:eastAsia="zh-CN"/>
              </w:rPr>
            </w:pPr>
            <w:r>
              <w:rPr>
                <w:rFonts w:hint="eastAsia" w:ascii="仿宋" w:hAnsi="仿宋" w:eastAsia="仿宋" w:cs="仿宋"/>
                <w:color w:val="auto"/>
                <w:szCs w:val="22"/>
                <w:highlight w:val="none"/>
                <w:rtl w:val="0"/>
                <w:lang w:val="en-US" w:eastAsia="zh-CN"/>
              </w:rPr>
              <w:t>工作组织进度安排</w:t>
            </w:r>
          </w:p>
        </w:tc>
        <w:tc>
          <w:tcPr>
            <w:tcW w:w="1404" w:type="dxa"/>
            <w:tcBorders>
              <w:tl2br w:val="nil"/>
              <w:tr2bl w:val="nil"/>
            </w:tcBorders>
            <w:noWrap w:val="0"/>
            <w:vAlign w:val="center"/>
          </w:tcPr>
          <w:p w14:paraId="53138421">
            <w:pPr>
              <w:keepNext w:val="0"/>
              <w:keepLines w:val="0"/>
              <w:pageBreakBefore w:val="0"/>
              <w:widowControl w:val="0"/>
              <w:spacing w:line="360" w:lineRule="auto"/>
              <w:jc w:val="center"/>
              <w:rPr>
                <w:rFonts w:hint="eastAsia" w:ascii="仿宋" w:hAnsi="仿宋" w:eastAsia="仿宋" w:cs="仿宋"/>
                <w:color w:val="auto"/>
                <w:szCs w:val="22"/>
                <w:highlight w:val="none"/>
                <w:rtl w:val="0"/>
                <w:lang w:val="en-US" w:eastAsia="zh-CN"/>
              </w:rPr>
            </w:pPr>
            <w:r>
              <w:rPr>
                <w:rFonts w:hint="eastAsia" w:ascii="仿宋" w:hAnsi="仿宋" w:eastAsia="仿宋" w:cs="仿宋"/>
                <w:color w:val="auto"/>
                <w:szCs w:val="22"/>
                <w:highlight w:val="none"/>
                <w:rtl w:val="0"/>
                <w:lang w:val="en-US" w:eastAsia="zh-CN"/>
              </w:rPr>
              <w:t>10.00分</w:t>
            </w:r>
          </w:p>
        </w:tc>
        <w:tc>
          <w:tcPr>
            <w:tcW w:w="7201" w:type="dxa"/>
            <w:tcBorders>
              <w:tl2br w:val="nil"/>
              <w:tr2bl w:val="nil"/>
            </w:tcBorders>
            <w:noWrap w:val="0"/>
            <w:vAlign w:val="center"/>
          </w:tcPr>
          <w:p w14:paraId="292931A9">
            <w:pPr>
              <w:keepNext w:val="0"/>
              <w:keepLines w:val="0"/>
              <w:pageBreakBefore w:val="0"/>
              <w:widowControl w:val="0"/>
              <w:spacing w:line="360" w:lineRule="auto"/>
              <w:jc w:val="left"/>
              <w:rPr>
                <w:rFonts w:hint="eastAsia" w:ascii="仿宋" w:hAnsi="仿宋" w:eastAsia="仿宋" w:cs="仿宋"/>
                <w:color w:val="auto"/>
                <w:szCs w:val="22"/>
                <w:highlight w:val="none"/>
                <w:rtl w:val="0"/>
                <w:lang w:val="en-US" w:eastAsia="zh-CN"/>
              </w:rPr>
            </w:pPr>
            <w:r>
              <w:rPr>
                <w:rFonts w:hint="eastAsia" w:ascii="仿宋" w:hAnsi="仿宋" w:eastAsia="仿宋" w:cs="仿宋"/>
                <w:color w:val="auto"/>
                <w:szCs w:val="22"/>
                <w:highlight w:val="none"/>
                <w:rtl w:val="0"/>
                <w:lang w:val="en-US" w:eastAsia="zh-CN"/>
              </w:rPr>
              <w:t>根据投标人针对本项目编制的组织管理、风险管理、进度计划和各阶段环节（节点）进度控制的保证措施等进行评审。编制进度安排及保障措施科学合理、全面先进、可操作性强、优于采购需求的得10分；编制进度安排及保障措施较科学合理、比较全面、可操作性较强、满足采购需求的得8分；编制进度安排及保障措施基本合理、基本符合编制要求，基本满足采购需求的得6分；编制进度安排及保障措施欠缺内容、承诺经过后期优化可基本满足招标文件要求的得4分；没有内容或其他情况不满足招标文件需求的不得分。</w:t>
            </w:r>
          </w:p>
        </w:tc>
      </w:tr>
      <w:tr w14:paraId="50206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172" w:type="dxa"/>
            <w:tcBorders>
              <w:tl2br w:val="nil"/>
              <w:tr2bl w:val="nil"/>
            </w:tcBorders>
            <w:noWrap w:val="0"/>
            <w:vAlign w:val="center"/>
          </w:tcPr>
          <w:p w14:paraId="0E53086A">
            <w:pPr>
              <w:keepNext w:val="0"/>
              <w:keepLines w:val="0"/>
              <w:pageBreakBefore w:val="0"/>
              <w:widowControl w:val="0"/>
              <w:spacing w:line="360" w:lineRule="auto"/>
              <w:jc w:val="center"/>
              <w:rPr>
                <w:rFonts w:hint="eastAsia" w:ascii="仿宋" w:hAnsi="仿宋" w:eastAsia="仿宋" w:cs="仿宋"/>
                <w:color w:val="auto"/>
                <w:szCs w:val="22"/>
                <w:highlight w:val="none"/>
                <w:rtl w:val="0"/>
                <w:lang w:val="en-US" w:eastAsia="zh-CN"/>
              </w:rPr>
            </w:pPr>
            <w:r>
              <w:rPr>
                <w:rFonts w:hint="eastAsia" w:ascii="仿宋" w:hAnsi="仿宋" w:eastAsia="仿宋" w:cs="仿宋"/>
                <w:color w:val="auto"/>
                <w:szCs w:val="22"/>
                <w:highlight w:val="none"/>
                <w:rtl w:val="0"/>
                <w:lang w:val="zh-CN" w:eastAsia="zh-CN"/>
              </w:rPr>
              <w:t>服务及承诺</w:t>
            </w:r>
          </w:p>
        </w:tc>
        <w:tc>
          <w:tcPr>
            <w:tcW w:w="1404" w:type="dxa"/>
            <w:tcBorders>
              <w:tl2br w:val="nil"/>
              <w:tr2bl w:val="nil"/>
            </w:tcBorders>
            <w:shd w:val="clear" w:color="auto" w:fill="auto"/>
            <w:noWrap w:val="0"/>
            <w:vAlign w:val="center"/>
          </w:tcPr>
          <w:p w14:paraId="74CD6702">
            <w:pPr>
              <w:keepNext w:val="0"/>
              <w:keepLines w:val="0"/>
              <w:pageBreakBefore w:val="0"/>
              <w:widowControl w:val="0"/>
              <w:spacing w:line="360" w:lineRule="auto"/>
              <w:jc w:val="center"/>
              <w:rPr>
                <w:rFonts w:hint="eastAsia" w:ascii="仿宋" w:hAnsi="仿宋" w:eastAsia="仿宋" w:cs="仿宋"/>
                <w:color w:val="auto"/>
                <w:szCs w:val="22"/>
                <w:highlight w:val="none"/>
                <w:rtl w:val="0"/>
                <w:lang w:val="en-US" w:eastAsia="zh-CN"/>
              </w:rPr>
            </w:pPr>
            <w:r>
              <w:rPr>
                <w:rFonts w:hint="eastAsia" w:ascii="仿宋" w:hAnsi="仿宋" w:eastAsia="仿宋" w:cs="仿宋"/>
                <w:color w:val="auto"/>
                <w:szCs w:val="22"/>
                <w:highlight w:val="none"/>
                <w:rtl w:val="0"/>
                <w:lang w:val="en-US" w:eastAsia="zh-CN"/>
              </w:rPr>
              <w:t>8.00分</w:t>
            </w:r>
          </w:p>
        </w:tc>
        <w:tc>
          <w:tcPr>
            <w:tcW w:w="7201" w:type="dxa"/>
            <w:tcBorders>
              <w:tl2br w:val="nil"/>
              <w:tr2bl w:val="nil"/>
            </w:tcBorders>
            <w:shd w:val="clear" w:color="auto" w:fill="auto"/>
            <w:noWrap w:val="0"/>
            <w:vAlign w:val="center"/>
          </w:tcPr>
          <w:p w14:paraId="15B7234D">
            <w:pPr>
              <w:keepNext w:val="0"/>
              <w:keepLines w:val="0"/>
              <w:pageBreakBefore w:val="0"/>
              <w:widowControl w:val="0"/>
              <w:spacing w:line="360" w:lineRule="auto"/>
              <w:jc w:val="left"/>
              <w:rPr>
                <w:rFonts w:hint="eastAsia" w:ascii="仿宋" w:hAnsi="仿宋" w:eastAsia="仿宋" w:cs="仿宋"/>
                <w:color w:val="auto"/>
                <w:szCs w:val="22"/>
                <w:highlight w:val="none"/>
                <w:rtl w:val="0"/>
                <w:lang w:val="en-US" w:eastAsia="zh-CN"/>
              </w:rPr>
            </w:pPr>
            <w:r>
              <w:rPr>
                <w:rFonts w:hint="eastAsia" w:ascii="仿宋" w:hAnsi="仿宋" w:eastAsia="仿宋" w:cs="仿宋"/>
                <w:color w:val="auto"/>
                <w:szCs w:val="22"/>
                <w:highlight w:val="none"/>
                <w:rtl w:val="0"/>
                <w:lang w:val="en-US" w:eastAsia="zh-CN"/>
              </w:rPr>
              <w:t>根据投标人针对本项目服务内容提供最终的成果整理及后续服务承诺方案进行评审。内容齐全且合理、优于采购需求得8分；内容齐全且合理、满足采购需求得6分；内容基本齐全且基本合理、基本满足采购需求得4分；内容不齐全、承诺经过优化可实现采购要求得2分；没有内容或其他情况不满足招标文件需求的不得分。</w:t>
            </w:r>
          </w:p>
        </w:tc>
      </w:tr>
    </w:tbl>
    <w:p w14:paraId="62B87651">
      <w:pPr>
        <w:rPr>
          <w:rFonts w:hint="eastAsia" w:ascii="仿宋" w:hAnsi="仿宋" w:eastAsia="仿宋" w:cs="仿宋"/>
          <w:color w:val="auto"/>
          <w:sz w:val="20"/>
          <w:highlight w:val="none"/>
        </w:rPr>
      </w:pPr>
    </w:p>
    <w:p w14:paraId="7B654564">
      <w:pPr>
        <w:rPr>
          <w:rFonts w:hint="eastAsia" w:ascii="仿宋" w:hAnsi="仿宋" w:eastAsia="仿宋" w:cs="仿宋"/>
          <w:color w:val="auto"/>
          <w:highlight w:val="none"/>
        </w:rPr>
      </w:pPr>
    </w:p>
    <w:bookmarkEnd w:id="116"/>
    <w:p w14:paraId="4A0AB313">
      <w:pPr>
        <w:rPr>
          <w:rFonts w:hint="eastAsia" w:ascii="仿宋" w:hAnsi="仿宋" w:eastAsia="仿宋" w:cs="仿宋"/>
          <w:bCs/>
          <w:color w:val="auto"/>
          <w:kern w:val="2"/>
          <w:sz w:val="44"/>
          <w:szCs w:val="28"/>
          <w:highlight w:val="none"/>
        </w:rPr>
      </w:pPr>
      <w:bookmarkStart w:id="146" w:name="_Toc25742"/>
      <w:r>
        <w:rPr>
          <w:rFonts w:hint="eastAsia" w:ascii="仿宋" w:hAnsi="仿宋" w:eastAsia="仿宋" w:cs="仿宋"/>
          <w:bCs/>
          <w:color w:val="auto"/>
          <w:kern w:val="2"/>
          <w:sz w:val="44"/>
          <w:szCs w:val="28"/>
          <w:highlight w:val="none"/>
        </w:rPr>
        <w:br w:type="page"/>
      </w:r>
    </w:p>
    <w:p w14:paraId="7D27B6C0">
      <w:pPr>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第</w:t>
      </w:r>
      <w:bookmarkEnd w:id="117"/>
      <w:r>
        <w:rPr>
          <w:rFonts w:hint="eastAsia" w:ascii="仿宋" w:hAnsi="仿宋" w:eastAsia="仿宋" w:cs="仿宋"/>
          <w:b/>
          <w:bCs/>
          <w:color w:val="auto"/>
          <w:sz w:val="44"/>
          <w:szCs w:val="44"/>
          <w:highlight w:val="none"/>
        </w:rPr>
        <w:t>四章  采购需求</w:t>
      </w:r>
      <w:bookmarkEnd w:id="118"/>
      <w:bookmarkEnd w:id="119"/>
      <w:bookmarkEnd w:id="120"/>
      <w:bookmarkEnd w:id="146"/>
    </w:p>
    <w:p w14:paraId="48EBF69D">
      <w:pPr>
        <w:keepNext w:val="0"/>
        <w:keepLines w:val="0"/>
        <w:pageBreakBefore w:val="0"/>
        <w:widowControl w:val="0"/>
        <w:spacing w:line="500" w:lineRule="exact"/>
        <w:ind w:left="0" w:right="0"/>
        <w:rPr>
          <w:rFonts w:hint="eastAsia" w:ascii="仿宋" w:hAnsi="仿宋" w:eastAsia="仿宋" w:cs="仿宋"/>
          <w:b/>
          <w:color w:val="auto"/>
          <w:sz w:val="28"/>
          <w:szCs w:val="28"/>
          <w:highlight w:val="none"/>
        </w:rPr>
      </w:pPr>
      <w:bookmarkStart w:id="147" w:name="_Toc26554093"/>
      <w:bookmarkStart w:id="148" w:name="_Toc49090575"/>
      <w:r>
        <w:rPr>
          <w:rFonts w:hint="eastAsia" w:ascii="仿宋" w:hAnsi="仿宋" w:eastAsia="仿宋" w:cs="仿宋"/>
          <w:b/>
          <w:color w:val="auto"/>
          <w:sz w:val="28"/>
          <w:szCs w:val="28"/>
          <w:highlight w:val="none"/>
        </w:rPr>
        <w:t>采购标的清单</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6"/>
        <w:gridCol w:w="4247"/>
        <w:gridCol w:w="2642"/>
      </w:tblGrid>
      <w:tr w14:paraId="18063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016" w:type="dxa"/>
            <w:noWrap w:val="0"/>
            <w:vAlign w:val="center"/>
          </w:tcPr>
          <w:p w14:paraId="6ABAB0A5">
            <w:pPr>
              <w:keepNext w:val="0"/>
              <w:keepLines w:val="0"/>
              <w:pageBreakBefore w:val="0"/>
              <w:widowControl w:val="0"/>
              <w:spacing w:line="5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4247" w:type="dxa"/>
            <w:noWrap w:val="0"/>
            <w:vAlign w:val="center"/>
          </w:tcPr>
          <w:p w14:paraId="48D54E2F">
            <w:pPr>
              <w:keepNext w:val="0"/>
              <w:keepLines w:val="0"/>
              <w:pageBreakBefore w:val="0"/>
              <w:widowControl w:val="0"/>
              <w:spacing w:line="5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标的名称</w:t>
            </w:r>
          </w:p>
        </w:tc>
        <w:tc>
          <w:tcPr>
            <w:tcW w:w="2642" w:type="dxa"/>
            <w:noWrap w:val="0"/>
            <w:vAlign w:val="center"/>
          </w:tcPr>
          <w:p w14:paraId="463E013A">
            <w:pPr>
              <w:keepNext w:val="0"/>
              <w:keepLines w:val="0"/>
              <w:pageBreakBefore w:val="0"/>
              <w:widowControl w:val="0"/>
              <w:spacing w:line="5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对应中小企业</w:t>
            </w:r>
          </w:p>
          <w:p w14:paraId="39979F43">
            <w:pPr>
              <w:keepNext w:val="0"/>
              <w:keepLines w:val="0"/>
              <w:pageBreakBefore w:val="0"/>
              <w:widowControl w:val="0"/>
              <w:spacing w:line="5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划分标准所属行业</w:t>
            </w:r>
          </w:p>
        </w:tc>
      </w:tr>
      <w:tr w14:paraId="213E1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jc w:val="center"/>
        </w:trPr>
        <w:tc>
          <w:tcPr>
            <w:tcW w:w="1016" w:type="dxa"/>
            <w:noWrap w:val="0"/>
            <w:vAlign w:val="center"/>
          </w:tcPr>
          <w:p w14:paraId="7E35E231">
            <w:pPr>
              <w:keepNext w:val="0"/>
              <w:keepLines w:val="0"/>
              <w:pageBreakBefore w:val="0"/>
              <w:widowControl w:val="0"/>
              <w:spacing w:line="500" w:lineRule="exact"/>
              <w:ind w:left="0" w:right="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1</w:t>
            </w:r>
          </w:p>
        </w:tc>
        <w:tc>
          <w:tcPr>
            <w:tcW w:w="4247" w:type="dxa"/>
            <w:noWrap w:val="0"/>
            <w:vAlign w:val="top"/>
          </w:tcPr>
          <w:p w14:paraId="67379D6D">
            <w:pPr>
              <w:keepNext w:val="0"/>
              <w:keepLines w:val="0"/>
              <w:pageBreakBefore w:val="0"/>
              <w:widowControl w:val="0"/>
              <w:spacing w:line="500" w:lineRule="exact"/>
              <w:ind w:left="0" w:right="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宿迁市申报国际湿地城市认证技术服务项目</w:t>
            </w:r>
          </w:p>
        </w:tc>
        <w:tc>
          <w:tcPr>
            <w:tcW w:w="2642" w:type="dxa"/>
            <w:noWrap w:val="0"/>
            <w:vAlign w:val="center"/>
          </w:tcPr>
          <w:p w14:paraId="2353B2A9">
            <w:pPr>
              <w:keepNext w:val="0"/>
              <w:keepLines w:val="0"/>
              <w:pageBreakBefore w:val="0"/>
              <w:widowControl w:val="0"/>
              <w:spacing w:line="500" w:lineRule="exact"/>
              <w:ind w:left="0" w:right="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其他未列明行业</w:t>
            </w:r>
          </w:p>
        </w:tc>
      </w:tr>
    </w:tbl>
    <w:p w14:paraId="4783991F">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b/>
          <w:bCs/>
          <w:color w:val="auto"/>
          <w:kern w:val="2"/>
          <w:sz w:val="24"/>
          <w:szCs w:val="24"/>
          <w:highlight w:val="none"/>
          <w:lang w:val="en-US" w:eastAsia="zh-CN"/>
        </w:rPr>
      </w:pPr>
      <w:bookmarkStart w:id="149" w:name="_Toc120614281"/>
      <w:r>
        <w:rPr>
          <w:rFonts w:hint="eastAsia" w:ascii="仿宋" w:hAnsi="仿宋" w:eastAsia="仿宋" w:cs="仿宋"/>
          <w:b/>
          <w:bCs/>
          <w:color w:val="auto"/>
          <w:kern w:val="0"/>
          <w:sz w:val="24"/>
          <w:szCs w:val="24"/>
          <w:highlight w:val="none"/>
          <w:lang w:val="en-US" w:eastAsia="zh-CN" w:bidi="ar-SA"/>
        </w:rPr>
        <w:t>一、</w:t>
      </w:r>
      <w:r>
        <w:rPr>
          <w:rFonts w:hint="eastAsia" w:ascii="仿宋" w:hAnsi="仿宋" w:eastAsia="仿宋" w:cs="仿宋"/>
          <w:b/>
          <w:bCs/>
          <w:color w:val="auto"/>
          <w:kern w:val="2"/>
          <w:sz w:val="24"/>
          <w:szCs w:val="24"/>
          <w:highlight w:val="none"/>
        </w:rPr>
        <w:t>项目</w:t>
      </w:r>
      <w:r>
        <w:rPr>
          <w:rFonts w:hint="eastAsia" w:ascii="仿宋" w:hAnsi="仿宋" w:eastAsia="仿宋" w:cs="仿宋"/>
          <w:b/>
          <w:bCs/>
          <w:color w:val="auto"/>
          <w:kern w:val="2"/>
          <w:sz w:val="24"/>
          <w:szCs w:val="24"/>
          <w:highlight w:val="none"/>
          <w:lang w:val="en-US" w:eastAsia="zh-CN"/>
        </w:rPr>
        <w:t>概况</w:t>
      </w:r>
    </w:p>
    <w:p w14:paraId="7379E77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rPr>
        <w:t>（一）项目名称</w:t>
      </w:r>
      <w:r>
        <w:rPr>
          <w:rFonts w:hint="eastAsia" w:ascii="仿宋" w:hAnsi="仿宋" w:eastAsia="仿宋" w:cs="仿宋"/>
          <w:i w:val="0"/>
          <w:iCs w:val="0"/>
          <w:color w:val="auto"/>
          <w:kern w:val="2"/>
          <w:sz w:val="24"/>
          <w:szCs w:val="24"/>
          <w:highlight w:val="none"/>
          <w:lang w:eastAsia="zh-CN"/>
        </w:rPr>
        <w:t>：</w:t>
      </w:r>
      <w:r>
        <w:rPr>
          <w:rFonts w:hint="eastAsia" w:ascii="仿宋" w:hAnsi="仿宋" w:eastAsia="仿宋" w:cs="仿宋"/>
          <w:i w:val="0"/>
          <w:iCs w:val="0"/>
          <w:color w:val="auto"/>
          <w:kern w:val="2"/>
          <w:sz w:val="24"/>
          <w:szCs w:val="24"/>
          <w:highlight w:val="none"/>
        </w:rPr>
        <w:t>宿迁市</w:t>
      </w:r>
      <w:r>
        <w:rPr>
          <w:rFonts w:hint="eastAsia" w:ascii="仿宋" w:hAnsi="仿宋" w:eastAsia="仿宋" w:cs="仿宋"/>
          <w:i w:val="0"/>
          <w:iCs w:val="0"/>
          <w:color w:val="auto"/>
          <w:kern w:val="2"/>
          <w:sz w:val="24"/>
          <w:szCs w:val="24"/>
          <w:highlight w:val="none"/>
          <w:lang w:val="en-US" w:eastAsia="zh-CN"/>
        </w:rPr>
        <w:t>申报国际湿地城市认证技术服务</w:t>
      </w:r>
      <w:r>
        <w:rPr>
          <w:rFonts w:hint="eastAsia" w:ascii="仿宋" w:hAnsi="仿宋" w:eastAsia="仿宋" w:cs="仿宋"/>
          <w:i w:val="0"/>
          <w:iCs w:val="0"/>
          <w:color w:val="auto"/>
          <w:kern w:val="2"/>
          <w:sz w:val="24"/>
          <w:szCs w:val="24"/>
          <w:highlight w:val="none"/>
        </w:rPr>
        <w:t>项目</w:t>
      </w:r>
    </w:p>
    <w:p w14:paraId="5DAC17D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rPr>
        <w:t>（二）</w:t>
      </w:r>
      <w:r>
        <w:rPr>
          <w:rFonts w:hint="eastAsia" w:ascii="仿宋" w:hAnsi="仿宋" w:eastAsia="仿宋" w:cs="仿宋"/>
          <w:i w:val="0"/>
          <w:iCs w:val="0"/>
          <w:color w:val="auto"/>
          <w:kern w:val="2"/>
          <w:sz w:val="24"/>
          <w:szCs w:val="24"/>
          <w:highlight w:val="none"/>
          <w:lang w:val="en-US" w:eastAsia="zh-CN"/>
        </w:rPr>
        <w:t>项目编号：系统生成</w:t>
      </w:r>
    </w:p>
    <w:p w14:paraId="224127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rPr>
        <w:t>（三）项目预算：</w:t>
      </w:r>
      <w:r>
        <w:rPr>
          <w:rFonts w:hint="eastAsia" w:ascii="仿宋" w:hAnsi="仿宋" w:eastAsia="仿宋" w:cs="仿宋"/>
          <w:i w:val="0"/>
          <w:iCs w:val="0"/>
          <w:color w:val="auto"/>
          <w:kern w:val="2"/>
          <w:sz w:val="24"/>
          <w:szCs w:val="24"/>
          <w:highlight w:val="none"/>
          <w:lang w:val="en-US" w:eastAsia="zh-CN"/>
        </w:rPr>
        <w:t>850</w:t>
      </w:r>
      <w:r>
        <w:rPr>
          <w:rFonts w:hint="eastAsia" w:ascii="仿宋" w:hAnsi="仿宋" w:eastAsia="仿宋" w:cs="仿宋"/>
          <w:i w:val="0"/>
          <w:iCs w:val="0"/>
          <w:color w:val="auto"/>
          <w:kern w:val="2"/>
          <w:sz w:val="24"/>
          <w:szCs w:val="24"/>
          <w:highlight w:val="none"/>
        </w:rPr>
        <w:t>万元</w:t>
      </w:r>
      <w:r>
        <w:rPr>
          <w:rFonts w:hint="eastAsia" w:ascii="仿宋" w:hAnsi="仿宋" w:eastAsia="仿宋" w:cs="仿宋"/>
          <w:i w:val="0"/>
          <w:iCs w:val="0"/>
          <w:color w:val="auto"/>
          <w:kern w:val="2"/>
          <w:sz w:val="24"/>
          <w:szCs w:val="24"/>
          <w:highlight w:val="none"/>
          <w:lang w:eastAsia="zh-CN"/>
        </w:rPr>
        <w:t>；</w:t>
      </w:r>
      <w:r>
        <w:rPr>
          <w:rFonts w:hint="eastAsia" w:ascii="仿宋" w:hAnsi="仿宋" w:eastAsia="仿宋" w:cs="仿宋"/>
          <w:i w:val="0"/>
          <w:iCs w:val="0"/>
          <w:color w:val="auto"/>
          <w:kern w:val="2"/>
          <w:sz w:val="24"/>
          <w:szCs w:val="24"/>
          <w:highlight w:val="none"/>
        </w:rPr>
        <w:t>最高限价：</w:t>
      </w:r>
      <w:r>
        <w:rPr>
          <w:rFonts w:hint="eastAsia" w:ascii="仿宋" w:hAnsi="仿宋" w:eastAsia="仿宋" w:cs="仿宋"/>
          <w:i w:val="0"/>
          <w:iCs w:val="0"/>
          <w:color w:val="auto"/>
          <w:kern w:val="2"/>
          <w:sz w:val="24"/>
          <w:szCs w:val="24"/>
          <w:highlight w:val="none"/>
          <w:lang w:val="en-US" w:eastAsia="zh-CN"/>
        </w:rPr>
        <w:t>845</w:t>
      </w:r>
      <w:r>
        <w:rPr>
          <w:rFonts w:hint="eastAsia" w:ascii="仿宋" w:hAnsi="仿宋" w:eastAsia="仿宋" w:cs="仿宋"/>
          <w:i w:val="0"/>
          <w:iCs w:val="0"/>
          <w:color w:val="auto"/>
          <w:kern w:val="2"/>
          <w:sz w:val="24"/>
          <w:szCs w:val="24"/>
          <w:highlight w:val="none"/>
        </w:rPr>
        <w:t>万元</w:t>
      </w:r>
    </w:p>
    <w:p w14:paraId="2EBA2B6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rPr>
        <w:t>注：</w:t>
      </w:r>
      <w:r>
        <w:rPr>
          <w:rFonts w:hint="eastAsia" w:ascii="仿宋" w:hAnsi="仿宋" w:eastAsia="仿宋" w:cs="仿宋"/>
          <w:i w:val="0"/>
          <w:iCs w:val="0"/>
          <w:color w:val="auto"/>
          <w:kern w:val="2"/>
          <w:sz w:val="24"/>
          <w:szCs w:val="24"/>
          <w:highlight w:val="none"/>
          <w:lang w:val="en-US" w:eastAsia="zh-CN"/>
        </w:rPr>
        <w:t>投标</w:t>
      </w:r>
      <w:r>
        <w:rPr>
          <w:rFonts w:hint="eastAsia" w:ascii="仿宋" w:hAnsi="仿宋" w:eastAsia="仿宋" w:cs="仿宋"/>
          <w:i w:val="0"/>
          <w:iCs w:val="0"/>
          <w:color w:val="auto"/>
          <w:kern w:val="2"/>
          <w:sz w:val="24"/>
          <w:szCs w:val="24"/>
          <w:highlight w:val="none"/>
        </w:rPr>
        <w:t>报价不得超过</w:t>
      </w:r>
      <w:r>
        <w:rPr>
          <w:rFonts w:hint="eastAsia" w:ascii="仿宋" w:hAnsi="仿宋" w:eastAsia="仿宋" w:cs="仿宋"/>
          <w:i w:val="0"/>
          <w:iCs w:val="0"/>
          <w:color w:val="auto"/>
          <w:kern w:val="2"/>
          <w:sz w:val="24"/>
          <w:szCs w:val="24"/>
          <w:highlight w:val="none"/>
          <w:lang w:val="en-US" w:eastAsia="zh-CN"/>
        </w:rPr>
        <w:t>最高限价</w:t>
      </w:r>
      <w:r>
        <w:rPr>
          <w:rFonts w:hint="eastAsia" w:ascii="仿宋" w:hAnsi="仿宋" w:eastAsia="仿宋" w:cs="仿宋"/>
          <w:i w:val="0"/>
          <w:iCs w:val="0"/>
          <w:color w:val="auto"/>
          <w:kern w:val="2"/>
          <w:sz w:val="24"/>
          <w:szCs w:val="24"/>
          <w:highlight w:val="none"/>
        </w:rPr>
        <w:t>，超过</w:t>
      </w:r>
      <w:r>
        <w:rPr>
          <w:rFonts w:hint="eastAsia" w:ascii="仿宋" w:hAnsi="仿宋" w:eastAsia="仿宋" w:cs="仿宋"/>
          <w:i w:val="0"/>
          <w:iCs w:val="0"/>
          <w:color w:val="auto"/>
          <w:kern w:val="2"/>
          <w:sz w:val="24"/>
          <w:szCs w:val="24"/>
          <w:highlight w:val="none"/>
          <w:lang w:val="en-US" w:eastAsia="zh-CN"/>
        </w:rPr>
        <w:t>最高限价</w:t>
      </w:r>
      <w:r>
        <w:rPr>
          <w:rFonts w:hint="eastAsia" w:ascii="仿宋" w:hAnsi="仿宋" w:eastAsia="仿宋" w:cs="仿宋"/>
          <w:i w:val="0"/>
          <w:iCs w:val="0"/>
          <w:color w:val="auto"/>
          <w:kern w:val="2"/>
          <w:sz w:val="24"/>
          <w:szCs w:val="24"/>
          <w:highlight w:val="none"/>
        </w:rPr>
        <w:t>的为无效报价，按照无效</w:t>
      </w:r>
      <w:r>
        <w:rPr>
          <w:rFonts w:hint="eastAsia" w:ascii="仿宋" w:hAnsi="仿宋" w:eastAsia="仿宋" w:cs="仿宋"/>
          <w:i w:val="0"/>
          <w:iCs w:val="0"/>
          <w:color w:val="auto"/>
          <w:kern w:val="2"/>
          <w:sz w:val="24"/>
          <w:szCs w:val="24"/>
          <w:highlight w:val="none"/>
          <w:lang w:val="en-US" w:eastAsia="zh-CN"/>
        </w:rPr>
        <w:t>投标</w:t>
      </w:r>
      <w:r>
        <w:rPr>
          <w:rFonts w:hint="eastAsia" w:ascii="仿宋" w:hAnsi="仿宋" w:eastAsia="仿宋" w:cs="仿宋"/>
          <w:i w:val="0"/>
          <w:iCs w:val="0"/>
          <w:color w:val="auto"/>
          <w:kern w:val="2"/>
          <w:sz w:val="24"/>
          <w:szCs w:val="24"/>
          <w:highlight w:val="none"/>
        </w:rPr>
        <w:t>处理。</w:t>
      </w:r>
    </w:p>
    <w:p w14:paraId="3D66FAF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lang w:eastAsia="zh-CN"/>
        </w:rPr>
        <w:t>（</w:t>
      </w:r>
      <w:r>
        <w:rPr>
          <w:rFonts w:hint="eastAsia" w:ascii="仿宋" w:hAnsi="仿宋" w:eastAsia="仿宋" w:cs="仿宋"/>
          <w:i w:val="0"/>
          <w:iCs w:val="0"/>
          <w:color w:val="auto"/>
          <w:kern w:val="2"/>
          <w:sz w:val="24"/>
          <w:szCs w:val="24"/>
          <w:highlight w:val="none"/>
          <w:lang w:val="en-US" w:eastAsia="zh-CN"/>
        </w:rPr>
        <w:t>四）</w:t>
      </w:r>
      <w:r>
        <w:rPr>
          <w:rFonts w:hint="eastAsia" w:ascii="仿宋" w:hAnsi="仿宋" w:eastAsia="仿宋" w:cs="仿宋"/>
          <w:i w:val="0"/>
          <w:iCs w:val="0"/>
          <w:color w:val="auto"/>
          <w:kern w:val="2"/>
          <w:sz w:val="24"/>
          <w:szCs w:val="24"/>
          <w:highlight w:val="none"/>
        </w:rPr>
        <w:t>服务地点：采购方指定地点。</w:t>
      </w:r>
    </w:p>
    <w:p w14:paraId="04D5BB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rPr>
        <w:t>（</w:t>
      </w:r>
      <w:r>
        <w:rPr>
          <w:rFonts w:hint="eastAsia" w:ascii="仿宋" w:hAnsi="仿宋" w:eastAsia="仿宋" w:cs="仿宋"/>
          <w:i w:val="0"/>
          <w:iCs w:val="0"/>
          <w:color w:val="auto"/>
          <w:kern w:val="2"/>
          <w:sz w:val="24"/>
          <w:szCs w:val="24"/>
          <w:highlight w:val="none"/>
          <w:lang w:val="en-US" w:eastAsia="zh-CN"/>
        </w:rPr>
        <w:t>五</w:t>
      </w:r>
      <w:r>
        <w:rPr>
          <w:rFonts w:hint="eastAsia" w:ascii="仿宋" w:hAnsi="仿宋" w:eastAsia="仿宋" w:cs="仿宋"/>
          <w:i w:val="0"/>
          <w:iCs w:val="0"/>
          <w:color w:val="auto"/>
          <w:kern w:val="2"/>
          <w:sz w:val="24"/>
          <w:szCs w:val="24"/>
          <w:highlight w:val="none"/>
        </w:rPr>
        <w:t>）合同履约期限：</w:t>
      </w:r>
      <w:r>
        <w:rPr>
          <w:rFonts w:hint="eastAsia" w:ascii="仿宋" w:hAnsi="仿宋" w:eastAsia="仿宋" w:cs="仿宋"/>
          <w:color w:val="auto"/>
          <w:kern w:val="2"/>
          <w:sz w:val="24"/>
          <w:szCs w:val="24"/>
          <w:highlight w:val="none"/>
          <w:lang w:eastAsia="zh-CN"/>
        </w:rPr>
        <w:t>自合同签订之日起至2028年8月31日完成</w:t>
      </w:r>
      <w:r>
        <w:rPr>
          <w:rFonts w:hint="eastAsia" w:ascii="仿宋" w:hAnsi="仿宋" w:eastAsia="仿宋" w:cs="仿宋"/>
          <w:color w:val="auto"/>
          <w:kern w:val="2"/>
          <w:sz w:val="24"/>
          <w:szCs w:val="24"/>
          <w:highlight w:val="none"/>
        </w:rPr>
        <w:t>（具体以《国际湿地公约》第十六届缔约方大会结束时间为准）。</w:t>
      </w:r>
    </w:p>
    <w:p w14:paraId="6C00C7F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（六）质量要求：</w:t>
      </w:r>
      <w:r>
        <w:rPr>
          <w:rFonts w:hint="eastAsia" w:ascii="仿宋" w:hAnsi="仿宋" w:eastAsia="仿宋" w:cs="仿宋"/>
          <w:i w:val="0"/>
          <w:iCs w:val="0"/>
          <w:color w:val="auto"/>
          <w:kern w:val="2"/>
          <w:sz w:val="24"/>
          <w:szCs w:val="24"/>
          <w:highlight w:val="none"/>
          <w:lang w:val="en-US" w:eastAsia="zh-CN"/>
        </w:rPr>
        <w:t>符合国际湿地城市认证标准，获得国际湿地城市授牌。</w:t>
      </w:r>
    </w:p>
    <w:p w14:paraId="2F07D744">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二、服务内容及要求</w:t>
      </w:r>
    </w:p>
    <w:p w14:paraId="1B69B84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按照国家林业和草原局办公室颁发的《国际湿地城市认证提名办法》编制国际湿地城市认证材料，服务主要内容（包括但不限于以下内容）：</w:t>
      </w:r>
    </w:p>
    <w:p w14:paraId="203DBA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湿地资源调查：对全市湖泊、河流等湿地资源及其分布进行摸底调查，开展湿地动植物、湿地生态系统等方面的全面调查，强化外来入侵物种普查；对湿地生物多样性、保护管理现状等进行综合评估，完成《宿迁市湿地科学考察评估报告》。</w:t>
      </w:r>
    </w:p>
    <w:p w14:paraId="2645D35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2.结合国际湿地城市申报标准，开展宿迁市湿地城市建设规划，编制完成《宿迁市国际湿地城市总体规划》。</w:t>
      </w:r>
    </w:p>
    <w:p w14:paraId="5F25763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3.制作宿迁市湿地中英文双语宣传片、宿迁市湿地画册等宣传材料及宿迁城市知名度宣传推广工作。</w:t>
      </w:r>
    </w:p>
    <w:p w14:paraId="6A82344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4.协助有关单位做好国家（国际）重要湿地相关工作。</w:t>
      </w:r>
    </w:p>
    <w:p w14:paraId="6107B5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5.</w:t>
      </w:r>
      <w:r>
        <w:rPr>
          <w:rFonts w:hint="eastAsia" w:ascii="仿宋" w:hAnsi="仿宋" w:eastAsia="仿宋" w:cs="仿宋"/>
          <w:i w:val="0"/>
          <w:iCs w:val="0"/>
          <w:color w:val="auto"/>
          <w:kern w:val="2"/>
          <w:sz w:val="24"/>
          <w:szCs w:val="24"/>
          <w:highlight w:val="none"/>
          <w:lang w:val="en-US" w:eastAsia="zh-CN"/>
        </w:rPr>
        <w:t>根据宿迁市湿地资源情况，在重要河流开展湿地保护载体建设，提升全市湿地保护率。</w:t>
      </w:r>
    </w:p>
    <w:p w14:paraId="62644B4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6.针对重要湿地，制定重要湿地管理计划，编制宿迁市省级以上重要湿地生态特征变化预警方案，开展动态监测评估，出具评估报告。</w:t>
      </w:r>
    </w:p>
    <w:p w14:paraId="6433F27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7.多形式多渠道开展湿地保护知识宣传，开展“湿地学校”申报评定等相关工作。</w:t>
      </w:r>
    </w:p>
    <w:p w14:paraId="5D04F2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8.开展湿地保护修复提升及申报流程等相关知识培训工作。</w:t>
      </w:r>
    </w:p>
    <w:p w14:paraId="2F6593C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9.负责档案材料收集、整理，协助相关会议准备工作。</w:t>
      </w:r>
    </w:p>
    <w:p w14:paraId="1C43AB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10.根据国内认证标准，完成申报书及佐证材料、申报视频制作等。根据国际认证标准，完成认证提名表及佐证材料、申报视频、各类汇编材料英文版等。</w:t>
      </w:r>
    </w:p>
    <w:p w14:paraId="5254095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11.做好迎接国家/国际、省考察评估阶段陈述答辩材料、协助实地核查现场指导等相关工作。</w:t>
      </w:r>
    </w:p>
    <w:p w14:paraId="14AC4620">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三、提交成果</w:t>
      </w:r>
    </w:p>
    <w:p w14:paraId="2B379A4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1.《宿迁市申报国际湿地城市综合报告》；</w:t>
      </w:r>
    </w:p>
    <w:p w14:paraId="5B722BD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2.《宿迁市申报国际湿地城市综合报告——简本》；</w:t>
      </w:r>
    </w:p>
    <w:p w14:paraId="289F588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bidi="ar-SA"/>
        </w:rPr>
        <w:t>3.《宿迁市申报国际湿地城市综合报告——附件》；</w:t>
      </w:r>
    </w:p>
    <w:p w14:paraId="5E78DE8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4. 宿迁市《国际湿地城市推荐书》；</w:t>
      </w:r>
    </w:p>
    <w:p w14:paraId="3DC1AC17">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bidi="ar-SA"/>
        </w:rPr>
        <w:t>5. 宿迁市《湿地城市认证提名表》（中、英文版）；</w:t>
      </w:r>
    </w:p>
    <w:p w14:paraId="0523C29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6.《宿迁市湿地科学考察评估报告》；</w:t>
      </w:r>
    </w:p>
    <w:p w14:paraId="0182DFB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bidi="ar-SA"/>
        </w:rPr>
        <w:t>7.《宿迁市国际湿地城市总体规划》；</w:t>
      </w:r>
    </w:p>
    <w:p w14:paraId="7B847A5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bidi="ar-SA"/>
        </w:rPr>
        <w:t>8.《宿迁市省级以上重要湿地管理计划（2025-2028年）》；</w:t>
      </w:r>
    </w:p>
    <w:p w14:paraId="4EB73BED">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9.《宿迁市省级以上重要湿地生态特征变化预警方案（2025-2028年）》；</w:t>
      </w:r>
    </w:p>
    <w:p w14:paraId="706DDB5E">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bidi="ar-SA"/>
        </w:rPr>
        <w:t>10.《宿迁市省级以上重要湿地年度动态监测评估报告》；</w:t>
      </w:r>
    </w:p>
    <w:p w14:paraId="5F014D77">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11.宿迁市省级以上重要湿地保护修复资料汇编；</w:t>
      </w:r>
    </w:p>
    <w:p w14:paraId="0F7CAA5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bidi="ar-SA"/>
        </w:rPr>
        <w:t>12.《宿迁市湿地合理利用资料汇编》；</w:t>
      </w:r>
    </w:p>
    <w:p w14:paraId="4A2129AB">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13.《宿迁市湿地宣教工作资料汇编》；</w:t>
      </w:r>
    </w:p>
    <w:p w14:paraId="115F1D52">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14.</w:t>
      </w:r>
      <w:r>
        <w:rPr>
          <w:rFonts w:hint="eastAsia" w:ascii="仿宋" w:hAnsi="仿宋" w:eastAsia="仿宋" w:cs="仿宋"/>
          <w:i w:val="0"/>
          <w:iCs w:val="0"/>
          <w:color w:val="auto"/>
          <w:kern w:val="2"/>
          <w:sz w:val="24"/>
          <w:szCs w:val="24"/>
          <w:highlight w:val="none"/>
          <w:lang w:val="en-US" w:eastAsia="zh-CN"/>
        </w:rPr>
        <w:t>宿迁市湿地双语宣传片（中、英文版），时长：8-10分钟；</w:t>
      </w:r>
    </w:p>
    <w:p w14:paraId="406148B0">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bidi="ar-SA"/>
        </w:rPr>
        <w:t>15.宿迁市湿地画册；</w:t>
      </w:r>
    </w:p>
    <w:p w14:paraId="6CBF3EAF">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16.宿迁市人民政府创建国际湿地城市工作汇报材料。</w:t>
      </w:r>
    </w:p>
    <w:p w14:paraId="4725B124">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四、服务成果要求</w:t>
      </w:r>
    </w:p>
    <w:p w14:paraId="0635B2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 xml:space="preserve">1.服务成果内容须符合本次项目需求，形式为文本、图纸、调查资料数据汇编、电子文档、图片、视频等。 </w:t>
      </w:r>
    </w:p>
    <w:p w14:paraId="43AAE43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w:t>
      </w:r>
      <w:r>
        <w:rPr>
          <w:rFonts w:hint="eastAsia" w:ascii="仿宋" w:hAnsi="仿宋" w:eastAsia="仿宋" w:cs="仿宋"/>
          <w:i w:val="0"/>
          <w:iCs w:val="0"/>
          <w:color w:val="auto"/>
          <w:kern w:val="2"/>
          <w:sz w:val="24"/>
          <w:szCs w:val="24"/>
          <w:highlight w:val="none"/>
          <w:lang w:val="en-US" w:eastAsia="zh-CN"/>
        </w:rPr>
        <w:t>服务成果及附属文件须满足“</w:t>
      </w:r>
      <w:r>
        <w:rPr>
          <w:rFonts w:hint="eastAsia" w:ascii="仿宋" w:hAnsi="仿宋" w:eastAsia="仿宋" w:cs="仿宋"/>
          <w:i w:val="0"/>
          <w:iCs w:val="0"/>
          <w:color w:val="auto"/>
          <w:kern w:val="2"/>
          <w:sz w:val="24"/>
          <w:szCs w:val="24"/>
          <w:highlight w:val="none"/>
          <w:lang w:val="en-US" w:eastAsia="zh-CN"/>
        </w:rPr>
        <w:t>国家林业和草原局</w:t>
      </w:r>
      <w:r>
        <w:rPr>
          <w:rFonts w:hint="eastAsia" w:ascii="仿宋" w:hAnsi="仿宋" w:eastAsia="仿宋" w:cs="仿宋"/>
          <w:i w:val="0"/>
          <w:iCs w:val="0"/>
          <w:color w:val="auto"/>
          <w:kern w:val="2"/>
          <w:sz w:val="24"/>
          <w:szCs w:val="24"/>
          <w:highlight w:val="none"/>
          <w:lang w:val="en-US" w:eastAsia="zh-CN"/>
        </w:rPr>
        <w:t>办公室关于印发《国际湿地城市认证提名办法》的通知”要求，获得国际湿地城市申报认证。</w:t>
      </w:r>
    </w:p>
    <w:p w14:paraId="7702E1F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3.服务流程及服务成果须符合最新的国家、省市及其他相关的行业规范和技术标准。</w:t>
      </w:r>
    </w:p>
    <w:p w14:paraId="72E842B4">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五、</w:t>
      </w:r>
      <w:r>
        <w:rPr>
          <w:rFonts w:hint="eastAsia" w:ascii="仿宋" w:hAnsi="仿宋" w:eastAsia="仿宋" w:cs="仿宋"/>
          <w:b/>
          <w:bCs/>
          <w:color w:val="auto"/>
          <w:kern w:val="0"/>
          <w:sz w:val="24"/>
          <w:szCs w:val="24"/>
          <w:highlight w:val="none"/>
          <w:lang w:val="en-US" w:eastAsia="zh-CN" w:bidi="ar-SA"/>
        </w:rPr>
        <w:t>进度要求</w:t>
      </w:r>
    </w:p>
    <w:p w14:paraId="63D14955">
      <w:pPr>
        <w:keepNext w:val="0"/>
        <w:keepLines w:val="0"/>
        <w:pageBreakBefore w:val="0"/>
        <w:widowControl w:val="0"/>
        <w:kinsoku/>
        <w:wordWrap/>
        <w:overflowPunct/>
        <w:topLinePunct w:val="0"/>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rPr>
        <w:t>1</w:t>
      </w:r>
      <w:r>
        <w:rPr>
          <w:rFonts w:hint="eastAsia" w:ascii="仿宋" w:hAnsi="仿宋" w:eastAsia="仿宋" w:cs="仿宋"/>
          <w:i w:val="0"/>
          <w:iCs w:val="0"/>
          <w:color w:val="auto"/>
          <w:kern w:val="2"/>
          <w:sz w:val="24"/>
          <w:szCs w:val="24"/>
          <w:highlight w:val="none"/>
          <w:lang w:val="en-US" w:eastAsia="zh-CN"/>
        </w:rPr>
        <w:t>.前期实地调查</w:t>
      </w:r>
      <w:r>
        <w:rPr>
          <w:rFonts w:hint="eastAsia" w:ascii="仿宋" w:hAnsi="仿宋" w:eastAsia="仿宋" w:cs="仿宋"/>
          <w:i w:val="0"/>
          <w:iCs w:val="0"/>
          <w:color w:val="auto"/>
          <w:kern w:val="2"/>
          <w:sz w:val="24"/>
          <w:szCs w:val="24"/>
          <w:highlight w:val="none"/>
        </w:rPr>
        <w:t>阶段：合同签订后</w:t>
      </w:r>
      <w:r>
        <w:rPr>
          <w:rFonts w:hint="eastAsia" w:ascii="仿宋" w:hAnsi="仿宋" w:eastAsia="仿宋" w:cs="仿宋"/>
          <w:i w:val="0"/>
          <w:iCs w:val="0"/>
          <w:color w:val="auto"/>
          <w:kern w:val="2"/>
          <w:sz w:val="24"/>
          <w:szCs w:val="24"/>
          <w:highlight w:val="none"/>
          <w:lang w:val="en-US" w:eastAsia="zh-CN"/>
        </w:rPr>
        <w:t>60</w:t>
      </w:r>
      <w:r>
        <w:rPr>
          <w:rFonts w:hint="eastAsia" w:ascii="仿宋" w:hAnsi="仿宋" w:eastAsia="仿宋" w:cs="仿宋"/>
          <w:i w:val="0"/>
          <w:iCs w:val="0"/>
          <w:color w:val="auto"/>
          <w:kern w:val="2"/>
          <w:sz w:val="24"/>
          <w:szCs w:val="24"/>
          <w:highlight w:val="none"/>
        </w:rPr>
        <w:t>日</w:t>
      </w:r>
      <w:r>
        <w:rPr>
          <w:rFonts w:hint="eastAsia" w:ascii="仿宋" w:hAnsi="仿宋" w:eastAsia="仿宋" w:cs="仿宋"/>
          <w:i w:val="0"/>
          <w:iCs w:val="0"/>
          <w:color w:val="auto"/>
          <w:kern w:val="2"/>
          <w:sz w:val="24"/>
          <w:szCs w:val="24"/>
          <w:highlight w:val="none"/>
          <w:lang w:val="en-US" w:eastAsia="zh-CN"/>
        </w:rPr>
        <w:t>历天</w:t>
      </w:r>
      <w:r>
        <w:rPr>
          <w:rFonts w:hint="eastAsia" w:ascii="仿宋" w:hAnsi="仿宋" w:eastAsia="仿宋" w:cs="仿宋"/>
          <w:i w:val="0"/>
          <w:iCs w:val="0"/>
          <w:color w:val="auto"/>
          <w:kern w:val="2"/>
          <w:sz w:val="24"/>
          <w:szCs w:val="24"/>
          <w:highlight w:val="none"/>
        </w:rPr>
        <w:t>内，</w:t>
      </w:r>
      <w:r>
        <w:rPr>
          <w:rFonts w:hint="eastAsia" w:ascii="仿宋" w:hAnsi="仿宋" w:eastAsia="仿宋" w:cs="仿宋"/>
          <w:i w:val="0"/>
          <w:iCs w:val="0"/>
          <w:color w:val="auto"/>
          <w:kern w:val="2"/>
          <w:sz w:val="24"/>
          <w:szCs w:val="24"/>
          <w:highlight w:val="none"/>
          <w:lang w:val="en-US" w:eastAsia="zh-CN"/>
        </w:rPr>
        <w:t>完成湿地</w:t>
      </w:r>
      <w:r>
        <w:rPr>
          <w:rFonts w:hint="eastAsia" w:ascii="仿宋" w:hAnsi="仿宋" w:eastAsia="仿宋" w:cs="仿宋"/>
          <w:i w:val="0"/>
          <w:iCs w:val="0"/>
          <w:color w:val="auto"/>
          <w:kern w:val="2"/>
          <w:sz w:val="24"/>
          <w:szCs w:val="24"/>
          <w:highlight w:val="none"/>
          <w:lang w:val="en-US" w:eastAsia="zh-CN"/>
        </w:rPr>
        <w:t>资源</w:t>
      </w:r>
      <w:r>
        <w:rPr>
          <w:rFonts w:hint="eastAsia" w:ascii="仿宋" w:hAnsi="仿宋" w:eastAsia="仿宋" w:cs="仿宋"/>
          <w:i w:val="0"/>
          <w:iCs w:val="0"/>
          <w:color w:val="auto"/>
          <w:kern w:val="2"/>
          <w:sz w:val="24"/>
          <w:szCs w:val="24"/>
          <w:highlight w:val="none"/>
          <w:lang w:val="en-US" w:eastAsia="zh-CN"/>
        </w:rPr>
        <w:t>调查</w:t>
      </w:r>
      <w:r>
        <w:rPr>
          <w:rFonts w:hint="eastAsia" w:ascii="仿宋" w:hAnsi="仿宋" w:eastAsia="仿宋" w:cs="仿宋"/>
          <w:i w:val="0"/>
          <w:iCs w:val="0"/>
          <w:color w:val="auto"/>
          <w:kern w:val="2"/>
          <w:sz w:val="24"/>
          <w:szCs w:val="24"/>
          <w:highlight w:val="none"/>
        </w:rPr>
        <w:t>。</w:t>
      </w:r>
    </w:p>
    <w:p w14:paraId="44EDA334">
      <w:pPr>
        <w:keepNext w:val="0"/>
        <w:keepLines w:val="0"/>
        <w:pageBreakBefore w:val="0"/>
        <w:widowControl w:val="0"/>
        <w:kinsoku/>
        <w:wordWrap/>
        <w:overflowPunct/>
        <w:topLinePunct w:val="0"/>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eastAsia="zh-CN"/>
        </w:rPr>
      </w:pPr>
      <w:r>
        <w:rPr>
          <w:rFonts w:hint="eastAsia" w:ascii="仿宋" w:hAnsi="仿宋" w:eastAsia="仿宋" w:cs="仿宋"/>
          <w:i w:val="0"/>
          <w:iCs w:val="0"/>
          <w:color w:val="auto"/>
          <w:kern w:val="2"/>
          <w:sz w:val="24"/>
          <w:szCs w:val="24"/>
          <w:highlight w:val="none"/>
        </w:rPr>
        <w:t>2</w:t>
      </w:r>
      <w:r>
        <w:rPr>
          <w:rFonts w:hint="eastAsia" w:ascii="仿宋" w:hAnsi="仿宋" w:eastAsia="仿宋" w:cs="仿宋"/>
          <w:i w:val="0"/>
          <w:iCs w:val="0"/>
          <w:color w:val="auto"/>
          <w:kern w:val="2"/>
          <w:sz w:val="24"/>
          <w:szCs w:val="24"/>
          <w:highlight w:val="none"/>
          <w:lang w:val="en-US" w:eastAsia="zh-CN"/>
        </w:rPr>
        <w:t>.数据整合分析及相关材料编制</w:t>
      </w:r>
      <w:r>
        <w:rPr>
          <w:rFonts w:hint="eastAsia" w:ascii="仿宋" w:hAnsi="仿宋" w:eastAsia="仿宋" w:cs="仿宋"/>
          <w:i w:val="0"/>
          <w:iCs w:val="0"/>
          <w:color w:val="auto"/>
          <w:kern w:val="2"/>
          <w:sz w:val="24"/>
          <w:szCs w:val="24"/>
          <w:highlight w:val="none"/>
          <w:lang w:val="en-US" w:eastAsia="zh-CN"/>
        </w:rPr>
        <w:t>阶段</w:t>
      </w:r>
      <w:r>
        <w:rPr>
          <w:rFonts w:hint="eastAsia" w:ascii="仿宋" w:hAnsi="仿宋" w:eastAsia="仿宋" w:cs="仿宋"/>
          <w:i w:val="0"/>
          <w:iCs w:val="0"/>
          <w:color w:val="auto"/>
          <w:kern w:val="2"/>
          <w:sz w:val="24"/>
          <w:szCs w:val="24"/>
          <w:highlight w:val="none"/>
        </w:rPr>
        <w:t>：合同签订后</w:t>
      </w:r>
      <w:r>
        <w:rPr>
          <w:rFonts w:hint="eastAsia" w:ascii="仿宋" w:hAnsi="仿宋" w:eastAsia="仿宋" w:cs="仿宋"/>
          <w:i w:val="0"/>
          <w:iCs w:val="0"/>
          <w:color w:val="auto"/>
          <w:kern w:val="2"/>
          <w:sz w:val="24"/>
          <w:szCs w:val="24"/>
          <w:highlight w:val="none"/>
          <w:lang w:val="en-US" w:eastAsia="zh-CN"/>
        </w:rPr>
        <w:t>180</w:t>
      </w:r>
      <w:r>
        <w:rPr>
          <w:rFonts w:hint="eastAsia" w:ascii="仿宋" w:hAnsi="仿宋" w:eastAsia="仿宋" w:cs="仿宋"/>
          <w:i w:val="0"/>
          <w:iCs w:val="0"/>
          <w:color w:val="auto"/>
          <w:kern w:val="2"/>
          <w:sz w:val="24"/>
          <w:szCs w:val="24"/>
          <w:highlight w:val="none"/>
        </w:rPr>
        <w:t>日</w:t>
      </w:r>
      <w:r>
        <w:rPr>
          <w:rFonts w:hint="eastAsia" w:ascii="仿宋" w:hAnsi="仿宋" w:eastAsia="仿宋" w:cs="仿宋"/>
          <w:i w:val="0"/>
          <w:iCs w:val="0"/>
          <w:color w:val="auto"/>
          <w:kern w:val="2"/>
          <w:sz w:val="24"/>
          <w:szCs w:val="24"/>
          <w:highlight w:val="none"/>
          <w:lang w:val="en-US" w:eastAsia="zh-CN"/>
        </w:rPr>
        <w:t>历天</w:t>
      </w:r>
      <w:r>
        <w:rPr>
          <w:rFonts w:hint="eastAsia" w:ascii="仿宋" w:hAnsi="仿宋" w:eastAsia="仿宋" w:cs="仿宋"/>
          <w:i w:val="0"/>
          <w:iCs w:val="0"/>
          <w:color w:val="auto"/>
          <w:kern w:val="2"/>
          <w:sz w:val="24"/>
          <w:szCs w:val="24"/>
          <w:highlight w:val="none"/>
        </w:rPr>
        <w:t>内，提交初步成果。</w:t>
      </w:r>
      <w:r>
        <w:rPr>
          <w:rFonts w:hint="eastAsia" w:ascii="仿宋" w:hAnsi="仿宋" w:eastAsia="仿宋" w:cs="仿宋"/>
          <w:i w:val="0"/>
          <w:iCs w:val="0"/>
          <w:color w:val="auto"/>
          <w:kern w:val="2"/>
          <w:sz w:val="24"/>
          <w:szCs w:val="24"/>
          <w:highlight w:val="none"/>
          <w:lang w:val="en-US" w:eastAsia="zh-CN"/>
        </w:rPr>
        <w:t>采购人</w:t>
      </w:r>
      <w:r>
        <w:rPr>
          <w:rFonts w:hint="eastAsia" w:ascii="仿宋" w:hAnsi="仿宋" w:eastAsia="仿宋" w:cs="仿宋"/>
          <w:i w:val="0"/>
          <w:iCs w:val="0"/>
          <w:color w:val="auto"/>
          <w:kern w:val="2"/>
          <w:sz w:val="24"/>
          <w:szCs w:val="24"/>
          <w:highlight w:val="none"/>
        </w:rPr>
        <w:t>审核，提出完善意见</w:t>
      </w:r>
      <w:r>
        <w:rPr>
          <w:rFonts w:hint="eastAsia" w:ascii="仿宋" w:hAnsi="仿宋" w:eastAsia="仿宋" w:cs="仿宋"/>
          <w:i w:val="0"/>
          <w:iCs w:val="0"/>
          <w:color w:val="auto"/>
          <w:kern w:val="2"/>
          <w:sz w:val="24"/>
          <w:szCs w:val="24"/>
          <w:highlight w:val="none"/>
          <w:lang w:eastAsia="zh-CN"/>
        </w:rPr>
        <w:t>。</w:t>
      </w:r>
    </w:p>
    <w:p w14:paraId="25EE21D6">
      <w:pPr>
        <w:keepNext w:val="0"/>
        <w:keepLines w:val="0"/>
        <w:pageBreakBefore w:val="0"/>
        <w:widowControl w:val="0"/>
        <w:kinsoku/>
        <w:wordWrap/>
        <w:overflowPunct/>
        <w:topLinePunct w:val="0"/>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rPr>
        <w:t>3</w:t>
      </w:r>
      <w:r>
        <w:rPr>
          <w:rFonts w:hint="eastAsia" w:ascii="仿宋" w:hAnsi="仿宋" w:eastAsia="仿宋" w:cs="仿宋"/>
          <w:i w:val="0"/>
          <w:iCs w:val="0"/>
          <w:color w:val="auto"/>
          <w:kern w:val="2"/>
          <w:sz w:val="24"/>
          <w:szCs w:val="24"/>
          <w:highlight w:val="none"/>
          <w:lang w:val="en-US" w:eastAsia="zh-CN"/>
        </w:rPr>
        <w:t>.申报服务</w:t>
      </w:r>
      <w:r>
        <w:rPr>
          <w:rFonts w:hint="eastAsia" w:ascii="仿宋" w:hAnsi="仿宋" w:eastAsia="仿宋" w:cs="仿宋"/>
          <w:i w:val="0"/>
          <w:iCs w:val="0"/>
          <w:color w:val="auto"/>
          <w:kern w:val="2"/>
          <w:sz w:val="24"/>
          <w:szCs w:val="24"/>
          <w:highlight w:val="none"/>
        </w:rPr>
        <w:t>阶段：</w:t>
      </w:r>
      <w:r>
        <w:rPr>
          <w:rFonts w:hint="eastAsia" w:ascii="仿宋" w:hAnsi="仿宋" w:eastAsia="仿宋" w:cs="仿宋"/>
          <w:i w:val="0"/>
          <w:iCs w:val="0"/>
          <w:color w:val="auto"/>
          <w:kern w:val="2"/>
          <w:sz w:val="24"/>
          <w:szCs w:val="24"/>
          <w:highlight w:val="none"/>
          <w:lang w:val="en-US" w:eastAsia="zh-CN"/>
        </w:rPr>
        <w:t>2026年6月30日前（具体根据国家文件要求）</w:t>
      </w:r>
      <w:r>
        <w:rPr>
          <w:rFonts w:hint="eastAsia" w:ascii="仿宋" w:hAnsi="仿宋" w:eastAsia="仿宋" w:cs="仿宋"/>
          <w:i w:val="0"/>
          <w:iCs w:val="0"/>
          <w:color w:val="auto"/>
          <w:kern w:val="2"/>
          <w:sz w:val="24"/>
          <w:szCs w:val="24"/>
          <w:highlight w:val="none"/>
        </w:rPr>
        <w:t>，</w:t>
      </w:r>
      <w:r>
        <w:rPr>
          <w:rFonts w:hint="eastAsia" w:ascii="仿宋" w:hAnsi="仿宋" w:eastAsia="仿宋" w:cs="仿宋"/>
          <w:i w:val="0"/>
          <w:iCs w:val="0"/>
          <w:color w:val="auto"/>
          <w:kern w:val="2"/>
          <w:sz w:val="24"/>
          <w:szCs w:val="24"/>
          <w:highlight w:val="none"/>
          <w:lang w:val="en-US" w:eastAsia="zh-CN"/>
        </w:rPr>
        <w:t>协助采购人完成省林业局对申报材料的审核并上报国家林草局，在2026年12月前协助采购人提交国家林草局审核并提交国际湿地公约秘书处（具体根据采购人及主管部门要求执行）</w:t>
      </w:r>
      <w:r>
        <w:rPr>
          <w:rFonts w:hint="eastAsia" w:ascii="仿宋" w:hAnsi="仿宋" w:eastAsia="仿宋" w:cs="仿宋"/>
          <w:i w:val="0"/>
          <w:iCs w:val="0"/>
          <w:color w:val="auto"/>
          <w:kern w:val="2"/>
          <w:sz w:val="24"/>
          <w:szCs w:val="24"/>
          <w:highlight w:val="none"/>
        </w:rPr>
        <w:t>。</w:t>
      </w:r>
    </w:p>
    <w:p w14:paraId="25342BD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bidi="ar-SA"/>
        </w:rPr>
        <w:t>4.项目跟踪服务阶段：协助宿迁市政府完成申报认证相关工作。</w:t>
      </w:r>
    </w:p>
    <w:p w14:paraId="124F366A">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六、付款方式</w:t>
      </w:r>
    </w:p>
    <w:p w14:paraId="08EB08A3">
      <w:pPr>
        <w:keepNext w:val="0"/>
        <w:keepLines w:val="0"/>
        <w:pageBreakBefore w:val="0"/>
        <w:widowControl w:val="0"/>
        <w:kinsoku/>
        <w:wordWrap/>
        <w:overflowPunct/>
        <w:topLinePunct w:val="0"/>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合同签订且收到中标人发票后10个工作日内支付合同金额的10%作为预付款；完成申报材料后，成果提交省林业局，且收到中标人发票后的10个工作日内，支付至合同金额的30%；完成申报材料后，通过</w:t>
      </w:r>
      <w:r>
        <w:rPr>
          <w:rFonts w:hint="eastAsia" w:ascii="仿宋" w:hAnsi="仿宋" w:eastAsia="仿宋" w:cs="仿宋"/>
          <w:i w:val="0"/>
          <w:iCs w:val="0"/>
          <w:color w:val="auto"/>
          <w:kern w:val="2"/>
          <w:sz w:val="24"/>
          <w:szCs w:val="24"/>
          <w:highlight w:val="none"/>
          <w:lang w:val="en-US" w:eastAsia="zh-CN"/>
        </w:rPr>
        <w:t>国家林业和草原局</w:t>
      </w:r>
      <w:r>
        <w:rPr>
          <w:rFonts w:hint="eastAsia" w:ascii="仿宋" w:hAnsi="仿宋" w:eastAsia="仿宋" w:cs="仿宋"/>
          <w:i w:val="0"/>
          <w:iCs w:val="0"/>
          <w:color w:val="auto"/>
          <w:kern w:val="2"/>
          <w:sz w:val="24"/>
          <w:szCs w:val="24"/>
          <w:highlight w:val="none"/>
          <w:lang w:val="en-US" w:eastAsia="zh-CN"/>
        </w:rPr>
        <w:t>评审，将成果提交国际湿地公约组织，且收到中标人发票后的10个工作日内，支付至合同金额的50%；获得“国际湿地城市”称号且收到中标人发票后的10个工作日内，支付至合同金额的100%。</w:t>
      </w:r>
    </w:p>
    <w:p w14:paraId="00436199">
      <w:pPr>
        <w:keepNext w:val="0"/>
        <w:keepLines w:val="0"/>
        <w:pageBreakBefore w:val="0"/>
        <w:widowControl w:val="0"/>
        <w:kinsoku/>
        <w:wordWrap/>
        <w:overflowPunct/>
        <w:topLinePunct w:val="0"/>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注：在签订合同时，中标人明确表示无需预付款或者主动要求降低预付款比例的金额，采购人可不适用预付款规定。</w:t>
      </w:r>
    </w:p>
    <w:p w14:paraId="6466CDCE">
      <w:pPr>
        <w:keepNext w:val="0"/>
        <w:keepLines w:val="0"/>
        <w:pageBreakBefore w:val="0"/>
        <w:widowControl w:val="0"/>
        <w:numPr>
          <w:ilvl w:val="0"/>
          <w:numId w:val="0"/>
        </w:numPr>
        <w:kinsoku/>
        <w:wordWrap/>
        <w:overflowPunct/>
        <w:topLinePunct w:val="0"/>
        <w:bidi w:val="0"/>
        <w:adjustRightInd/>
        <w:snapToGrid/>
        <w:spacing w:line="360" w:lineRule="auto"/>
        <w:ind w:leftChars="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七、验收</w:t>
      </w:r>
    </w:p>
    <w:p w14:paraId="7EE20AC4">
      <w:pPr>
        <w:keepNext w:val="0"/>
        <w:keepLines w:val="0"/>
        <w:pageBreakBefore w:val="0"/>
        <w:widowControl w:val="0"/>
        <w:kinsoku/>
        <w:wordWrap/>
        <w:overflowPunct/>
        <w:topLinePunct w:val="0"/>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rPr>
        <w:t>在</w:t>
      </w:r>
      <w:r>
        <w:rPr>
          <w:rFonts w:hint="eastAsia" w:ascii="仿宋" w:hAnsi="仿宋" w:eastAsia="仿宋" w:cs="仿宋"/>
          <w:i w:val="0"/>
          <w:iCs w:val="0"/>
          <w:color w:val="auto"/>
          <w:kern w:val="2"/>
          <w:sz w:val="24"/>
          <w:szCs w:val="24"/>
          <w:highlight w:val="none"/>
          <w:lang w:val="en-US" w:eastAsia="zh-CN"/>
        </w:rPr>
        <w:t>中标人</w:t>
      </w:r>
      <w:r>
        <w:rPr>
          <w:rFonts w:hint="eastAsia" w:ascii="仿宋" w:hAnsi="仿宋" w:eastAsia="仿宋" w:cs="仿宋"/>
          <w:i w:val="0"/>
          <w:iCs w:val="0"/>
          <w:color w:val="auto"/>
          <w:kern w:val="2"/>
          <w:sz w:val="24"/>
          <w:szCs w:val="24"/>
          <w:highlight w:val="none"/>
        </w:rPr>
        <w:t>交付最终成果后，</w:t>
      </w:r>
      <w:r>
        <w:rPr>
          <w:rFonts w:hint="eastAsia" w:ascii="仿宋" w:hAnsi="仿宋" w:eastAsia="仿宋" w:cs="仿宋"/>
          <w:i w:val="0"/>
          <w:iCs w:val="0"/>
          <w:color w:val="auto"/>
          <w:kern w:val="2"/>
          <w:sz w:val="24"/>
          <w:szCs w:val="24"/>
          <w:highlight w:val="none"/>
          <w:lang w:val="en-US" w:eastAsia="zh-CN"/>
        </w:rPr>
        <w:t>采购人</w:t>
      </w:r>
      <w:r>
        <w:rPr>
          <w:rFonts w:hint="eastAsia" w:ascii="仿宋" w:hAnsi="仿宋" w:eastAsia="仿宋" w:cs="仿宋"/>
          <w:i w:val="0"/>
          <w:iCs w:val="0"/>
          <w:color w:val="auto"/>
          <w:kern w:val="2"/>
          <w:sz w:val="24"/>
          <w:szCs w:val="24"/>
          <w:highlight w:val="none"/>
        </w:rPr>
        <w:t>根据要求组织验收，验收内容包括</w:t>
      </w:r>
      <w:r>
        <w:rPr>
          <w:rFonts w:hint="eastAsia" w:ascii="仿宋" w:hAnsi="仿宋" w:eastAsia="仿宋" w:cs="仿宋"/>
          <w:i w:val="0"/>
          <w:iCs w:val="0"/>
          <w:color w:val="auto"/>
          <w:kern w:val="2"/>
          <w:sz w:val="24"/>
          <w:szCs w:val="24"/>
          <w:highlight w:val="none"/>
          <w:lang w:val="en-US" w:eastAsia="zh-CN"/>
        </w:rPr>
        <w:t>成果</w:t>
      </w:r>
      <w:r>
        <w:rPr>
          <w:rFonts w:hint="eastAsia" w:ascii="仿宋" w:hAnsi="仿宋" w:eastAsia="仿宋" w:cs="仿宋"/>
          <w:i w:val="0"/>
          <w:iCs w:val="0"/>
          <w:color w:val="auto"/>
          <w:kern w:val="2"/>
          <w:sz w:val="24"/>
          <w:szCs w:val="24"/>
          <w:highlight w:val="none"/>
        </w:rPr>
        <w:t>和本合同提出的技术要求。</w:t>
      </w:r>
      <w:r>
        <w:rPr>
          <w:rFonts w:hint="eastAsia" w:ascii="仿宋" w:hAnsi="仿宋" w:eastAsia="仿宋" w:cs="仿宋"/>
          <w:i w:val="0"/>
          <w:iCs w:val="0"/>
          <w:color w:val="auto"/>
          <w:kern w:val="2"/>
          <w:sz w:val="24"/>
          <w:szCs w:val="24"/>
          <w:highlight w:val="none"/>
          <w:lang w:val="en-US" w:eastAsia="zh-CN"/>
        </w:rPr>
        <w:t>中标人</w:t>
      </w:r>
      <w:r>
        <w:rPr>
          <w:rFonts w:hint="eastAsia" w:ascii="仿宋" w:hAnsi="仿宋" w:eastAsia="仿宋" w:cs="仿宋"/>
          <w:i w:val="0"/>
          <w:iCs w:val="0"/>
          <w:color w:val="auto"/>
          <w:kern w:val="2"/>
          <w:sz w:val="24"/>
          <w:szCs w:val="24"/>
          <w:highlight w:val="none"/>
        </w:rPr>
        <w:t>应对成果的不足负责，并承担由此引起的一切后果。</w:t>
      </w:r>
    </w:p>
    <w:p w14:paraId="7B863A9F">
      <w:pPr>
        <w:keepNext w:val="0"/>
        <w:keepLines w:val="0"/>
        <w:pageBreakBefore w:val="0"/>
        <w:widowControl w:val="0"/>
        <w:numPr>
          <w:ilvl w:val="0"/>
          <w:numId w:val="0"/>
        </w:numPr>
        <w:kinsoku/>
        <w:wordWrap/>
        <w:overflowPunct/>
        <w:topLinePunct w:val="0"/>
        <w:bidi w:val="0"/>
        <w:adjustRightInd/>
        <w:snapToGrid/>
        <w:spacing w:line="360" w:lineRule="auto"/>
        <w:ind w:leftChars="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八、项目实施方案要求</w:t>
      </w:r>
    </w:p>
    <w:p w14:paraId="2D22A9CB">
      <w:pPr>
        <w:keepNext w:val="0"/>
        <w:keepLines w:val="0"/>
        <w:pageBreakBefore w:val="0"/>
        <w:widowControl w:val="0"/>
        <w:kinsoku/>
        <w:wordWrap/>
        <w:overflowPunct/>
        <w:topLinePunct w:val="0"/>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1.整体思路：投标人应</w:t>
      </w:r>
      <w:r>
        <w:rPr>
          <w:rFonts w:hint="eastAsia" w:ascii="仿宋" w:hAnsi="仿宋" w:eastAsia="仿宋" w:cs="仿宋"/>
          <w:i w:val="0"/>
          <w:iCs w:val="0"/>
          <w:color w:val="auto"/>
          <w:kern w:val="2"/>
          <w:sz w:val="24"/>
          <w:szCs w:val="24"/>
          <w:highlight w:val="none"/>
          <w:rtl w:val="0"/>
          <w:lang w:val="en-US" w:eastAsia="zh-CN"/>
        </w:rPr>
        <w:t>对本项目实施的现状、服务需求进行分析理解，具有详细、逻辑清晰、可操作性强的整体思路。</w:t>
      </w:r>
    </w:p>
    <w:p w14:paraId="4D5B4192">
      <w:pPr>
        <w:keepNext w:val="0"/>
        <w:keepLines w:val="0"/>
        <w:pageBreakBefore w:val="0"/>
        <w:widowControl w:val="0"/>
        <w:kinsoku/>
        <w:wordWrap/>
        <w:overflowPunct/>
        <w:topLinePunct w:val="0"/>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2.重难点分析：投标人根据本项目服务内容提供项目重点难点分析。应能精准提出项目中的重点、难点，对问题点有准确的认识，并对此提供切合实际的解决方案且对策的分析清晰。</w:t>
      </w:r>
    </w:p>
    <w:p w14:paraId="3B3AC3A2">
      <w:pPr>
        <w:keepNext w:val="0"/>
        <w:keepLines w:val="0"/>
        <w:pageBreakBefore w:val="0"/>
        <w:widowControl w:val="0"/>
        <w:kinsoku/>
        <w:wordWrap/>
        <w:overflowPunct/>
        <w:topLinePunct w:val="0"/>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3.质量保障措施：投标人制定项目质量保障措施。对可能产生的质量问题分析归纳条理清楚，采取具体有效的质量保障措施。</w:t>
      </w:r>
    </w:p>
    <w:p w14:paraId="15EACB9A">
      <w:pPr>
        <w:keepNext w:val="0"/>
        <w:keepLines w:val="0"/>
        <w:pageBreakBefore w:val="0"/>
        <w:widowControl w:val="0"/>
        <w:kinsoku/>
        <w:wordWrap/>
        <w:overflowPunct/>
        <w:topLinePunct w:val="0"/>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4.工作组织进度安排：投标人针对本项目工期要求编制组织管理、风险管理、进度计划和各阶段环节（节点）进度控制的保证措施。</w:t>
      </w:r>
    </w:p>
    <w:p w14:paraId="7E54DA64">
      <w:pPr>
        <w:keepNext w:val="0"/>
        <w:keepLines w:val="0"/>
        <w:pageBreakBefore w:val="0"/>
        <w:widowControl w:val="0"/>
        <w:kinsoku/>
        <w:wordWrap/>
        <w:overflowPunct/>
        <w:topLinePunct w:val="0"/>
        <w:bidi w:val="0"/>
        <w:adjustRightInd/>
        <w:snapToGrid/>
        <w:spacing w:line="360" w:lineRule="auto"/>
        <w:ind w:left="0" w:leftChars="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5.服务及承诺：投标人针对本项目服务内容提供最终的成果整理及后续服务承诺方案。</w:t>
      </w:r>
    </w:p>
    <w:p w14:paraId="3E3EB288">
      <w:pPr>
        <w:keepNext w:val="0"/>
        <w:keepLines w:val="0"/>
        <w:pageBreakBefore w:val="0"/>
        <w:widowControl w:val="0"/>
        <w:numPr>
          <w:ilvl w:val="0"/>
          <w:numId w:val="0"/>
        </w:numPr>
        <w:kinsoku/>
        <w:wordWrap/>
        <w:overflowPunct/>
        <w:topLinePunct w:val="0"/>
        <w:bidi w:val="0"/>
        <w:adjustRightInd/>
        <w:snapToGrid/>
        <w:spacing w:line="360" w:lineRule="auto"/>
        <w:ind w:leftChars="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九、其他要求</w:t>
      </w:r>
    </w:p>
    <w:p w14:paraId="0A0C6799">
      <w:pPr>
        <w:keepNext w:val="0"/>
        <w:keepLines w:val="0"/>
        <w:pageBreakBefore w:val="0"/>
        <w:widowControl w:val="0"/>
        <w:kinsoku/>
        <w:wordWrap/>
        <w:overflowPunct/>
        <w:topLinePunct w:val="0"/>
        <w:bidi w:val="0"/>
        <w:adjustRightInd/>
        <w:snapToGrid/>
        <w:spacing w:line="360" w:lineRule="auto"/>
        <w:ind w:firstLine="241" w:firstLineChars="10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color w:val="auto"/>
          <w:sz w:val="24"/>
          <w:highlight w:val="none"/>
        </w:rPr>
        <w:t>★</w:t>
      </w:r>
      <w:r>
        <w:rPr>
          <w:rFonts w:hint="eastAsia" w:ascii="仿宋" w:hAnsi="仿宋" w:eastAsia="仿宋" w:cs="仿宋"/>
          <w:b/>
          <w:bCs/>
          <w:i w:val="0"/>
          <w:iCs w:val="0"/>
          <w:color w:val="auto"/>
          <w:kern w:val="2"/>
          <w:sz w:val="24"/>
          <w:szCs w:val="24"/>
          <w:highlight w:val="none"/>
          <w:lang w:val="en-US" w:eastAsia="zh-CN" w:bidi="ar-SA"/>
        </w:rPr>
        <w:t>1.投标单位必须承诺招标文件中提出的全部要求，否则视同无效投标（承诺函见附件）。</w:t>
      </w:r>
    </w:p>
    <w:p w14:paraId="36BABF61">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2.中标单位工作人员在岗履行职责期间(包括上下班途中)，发生自身的人身伤害、伤亡，均由中标单位负责处理并承担经济和人道主义上的责任，采购方不承担任何责任。</w:t>
      </w:r>
    </w:p>
    <w:p w14:paraId="423EABB6">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 xml:space="preserve">3.在合同期内，因中标单位原因，所造成的直接经济损失由中标单位按实际金额赔偿。 </w:t>
      </w:r>
    </w:p>
    <w:p w14:paraId="639FD7B8">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 xml:space="preserve">4.中标单位违反国家相关法规，与聘用人员发生纠纷，均由中标单位负责调解与处理，采购单位不承担责任。 </w:t>
      </w:r>
    </w:p>
    <w:p w14:paraId="1AD7813A">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 xml:space="preserve">5.因中标单位管理不善，造成工作范围内的设施、设备等损坏的，由中标单位赔偿，采购单位有权要求中标单位负责赔偿损失，情节严重的可终止合同甚至诉诸法律。 </w:t>
      </w:r>
    </w:p>
    <w:p w14:paraId="36FFF5B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kern w:val="2"/>
          <w:sz w:val="24"/>
          <w:szCs w:val="24"/>
          <w:highlight w:val="none"/>
          <w:rtl w:val="0"/>
          <w:lang w:val="en-US" w:eastAsia="zh-CN" w:bidi="ar-SA"/>
        </w:rPr>
      </w:pPr>
      <w:r>
        <w:rPr>
          <w:rFonts w:hint="eastAsia" w:ascii="仿宋" w:hAnsi="仿宋" w:eastAsia="仿宋" w:cs="仿宋"/>
          <w:i w:val="0"/>
          <w:iCs w:val="0"/>
          <w:color w:val="auto"/>
          <w:kern w:val="2"/>
          <w:sz w:val="24"/>
          <w:szCs w:val="24"/>
          <w:highlight w:val="none"/>
          <w:lang w:val="en-US" w:eastAsia="zh-CN" w:bidi="ar-SA"/>
        </w:rPr>
        <w:t>6.本项目人员要求为：项目负责人1人，</w:t>
      </w:r>
      <w:r>
        <w:rPr>
          <w:rFonts w:hint="eastAsia" w:ascii="仿宋" w:hAnsi="仿宋" w:eastAsia="仿宋" w:cs="仿宋"/>
          <w:i w:val="0"/>
          <w:iCs w:val="0"/>
          <w:color w:val="auto"/>
          <w:kern w:val="2"/>
          <w:sz w:val="24"/>
          <w:szCs w:val="24"/>
          <w:highlight w:val="none"/>
          <w:rtl w:val="0"/>
          <w:lang w:val="en-US" w:eastAsia="zh-CN" w:bidi="ar-SA"/>
        </w:rPr>
        <w:t>项目组其他成员（项目负责人除外）不低于5人。其中，项目负责人须具有林业相关专业高级职称证书。</w:t>
      </w:r>
    </w:p>
    <w:p w14:paraId="6D832BE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default"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rtl w:val="0"/>
          <w:lang w:val="en-US" w:eastAsia="zh-CN" w:bidi="ar-SA"/>
        </w:rPr>
        <w:t>注：（1）须提供项目负责人职称证书原件扫描件，如职称证书没有专业的，需提供《专业技术资格评审申请表》原件扫描件，以评审专业为准；（2）提供投标人2025年5月以来为本项目人员缴纳的任意1个月的社保证明材料。</w:t>
      </w:r>
    </w:p>
    <w:p w14:paraId="784DEA4B">
      <w:pPr>
        <w:keepNext w:val="0"/>
        <w:keepLines w:val="0"/>
        <w:pageBreakBefore w:val="0"/>
        <w:widowControl w:val="0"/>
        <w:numPr>
          <w:ilvl w:val="0"/>
          <w:numId w:val="0"/>
        </w:numPr>
        <w:kinsoku/>
        <w:wordWrap/>
        <w:overflowPunct/>
        <w:topLinePunct w:val="0"/>
        <w:bidi w:val="0"/>
        <w:adjustRightInd/>
        <w:snapToGrid/>
        <w:spacing w:line="360" w:lineRule="auto"/>
        <w:ind w:leftChars="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十、特别说明</w:t>
      </w:r>
    </w:p>
    <w:p w14:paraId="3D6E711A">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 xml:space="preserve">1.服务成果署名权及版权归采购人所有；采购人有权公开展示服务成果，并通过传播、媒介、专业杂志、书刊或其他形式介绍服务成果。服务成果在批准实施前，除政府主管部门组织批前公示或采购人可以公开展示外，其他任何单位和个人都无权以任何形式向社会公开展示服务成果。 </w:t>
      </w:r>
    </w:p>
    <w:p w14:paraId="033B35B7">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 xml:space="preserve">2.投标单位应充分考虑所有可能影响到报价的价格及政策等风险因素，一旦中标，服务总价将包定，一律不予调整。 </w:t>
      </w:r>
    </w:p>
    <w:p w14:paraId="62F538C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3.投标单位的任何错漏、优惠、竞争性报价不得作为减轻责任、减少服务、增加收费、降低质量的理由。</w:t>
      </w:r>
    </w:p>
    <w:p w14:paraId="034BAD8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4.投标单位报价除包含采购文件中列明的项目外还应包括保障服务正常运行应当具有的物资和服务，对服务正常运行应当具有的物资和服务理解不一致的以采购人理解为准。</w:t>
      </w:r>
    </w:p>
    <w:p w14:paraId="788E031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firstLine="480" w:firstLineChars="200"/>
        <w:jc w:val="both"/>
        <w:textAlignment w:val="auto"/>
        <w:rPr>
          <w:rFonts w:hint="eastAsia" w:ascii="仿宋" w:hAnsi="仿宋" w:eastAsia="仿宋" w:cs="仿宋"/>
          <w:i w:val="0"/>
          <w:iCs w:val="0"/>
          <w:color w:val="auto"/>
          <w:kern w:val="2"/>
          <w:sz w:val="32"/>
          <w:szCs w:val="32"/>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5.中标人须根据采购人及采购文件要求出具可供采购人专家评审会所需要的一切成果及其他相关资料。提交成果后，中标人应按照采购人要求继续提供服务，直至所提交的服务成果通过相关主管部门审查批准。</w:t>
      </w:r>
    </w:p>
    <w:p w14:paraId="43D05FCC">
      <w:pPr>
        <w:rPr>
          <w:rFonts w:hint="eastAsia" w:ascii="仿宋" w:hAnsi="仿宋" w:eastAsia="仿宋" w:cs="仿宋"/>
          <w:bCs/>
          <w:color w:val="auto"/>
          <w:sz w:val="44"/>
          <w:highlight w:val="none"/>
        </w:rPr>
      </w:pPr>
      <w:r>
        <w:rPr>
          <w:rFonts w:hint="eastAsia" w:ascii="仿宋" w:hAnsi="仿宋" w:eastAsia="仿宋" w:cs="仿宋"/>
          <w:bCs/>
          <w:color w:val="auto"/>
          <w:sz w:val="44"/>
          <w:highlight w:val="none"/>
        </w:rPr>
        <w:br w:type="page" w:clear="all"/>
      </w:r>
    </w:p>
    <w:p w14:paraId="2DD48CF6">
      <w:pPr>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rPr>
      </w:pPr>
      <w:bookmarkStart w:id="150" w:name="_Toc4284"/>
      <w:bookmarkStart w:id="151" w:name="_Toc23929"/>
      <w:bookmarkStart w:id="152" w:name="_Toc15797"/>
      <w:r>
        <w:rPr>
          <w:rFonts w:hint="eastAsia" w:ascii="仿宋" w:hAnsi="仿宋" w:eastAsia="仿宋" w:cs="仿宋"/>
          <w:b/>
          <w:bCs/>
          <w:color w:val="auto"/>
          <w:sz w:val="44"/>
          <w:szCs w:val="44"/>
          <w:highlight w:val="none"/>
        </w:rPr>
        <w:t>第</w:t>
      </w:r>
      <w:r>
        <w:rPr>
          <w:rFonts w:hint="eastAsia" w:ascii="仿宋" w:hAnsi="仿宋" w:eastAsia="仿宋" w:cs="仿宋"/>
          <w:b/>
          <w:bCs/>
          <w:color w:val="auto"/>
          <w:sz w:val="44"/>
          <w:szCs w:val="44"/>
          <w:highlight w:val="none"/>
          <w:lang w:val="en-US" w:eastAsia="zh-CN"/>
        </w:rPr>
        <w:t>五</w:t>
      </w:r>
      <w:r>
        <w:rPr>
          <w:rFonts w:hint="eastAsia" w:ascii="仿宋" w:hAnsi="仿宋" w:eastAsia="仿宋" w:cs="仿宋"/>
          <w:b/>
          <w:bCs/>
          <w:color w:val="auto"/>
          <w:sz w:val="44"/>
          <w:szCs w:val="44"/>
          <w:highlight w:val="none"/>
        </w:rPr>
        <w:t>章  合同文本</w:t>
      </w:r>
      <w:bookmarkEnd w:id="150"/>
      <w:bookmarkEnd w:id="151"/>
      <w:bookmarkEnd w:id="152"/>
    </w:p>
    <w:p w14:paraId="42DF387D">
      <w:pPr>
        <w:spacing w:after="200"/>
        <w:jc w:val="center"/>
        <w:rPr>
          <w:rFonts w:hint="eastAsia" w:ascii="仿宋" w:hAnsi="仿宋" w:eastAsia="仿宋" w:cs="仿宋"/>
          <w:b/>
          <w:color w:val="auto"/>
          <w:kern w:val="2"/>
          <w:sz w:val="72"/>
          <w:szCs w:val="72"/>
          <w:highlight w:val="none"/>
        </w:rPr>
      </w:pPr>
      <w:bookmarkStart w:id="153" w:name="_Toc20823315"/>
      <w:bookmarkStart w:id="154" w:name="_Toc16938559"/>
      <w:bookmarkStart w:id="155" w:name="_Toc513029243"/>
    </w:p>
    <w:bookmarkEnd w:id="153"/>
    <w:bookmarkEnd w:id="154"/>
    <w:bookmarkEnd w:id="155"/>
    <w:p w14:paraId="37F40DD7">
      <w:pPr>
        <w:spacing w:after="200"/>
        <w:jc w:val="center"/>
        <w:rPr>
          <w:rFonts w:hint="eastAsia" w:ascii="仿宋" w:hAnsi="仿宋" w:eastAsia="仿宋" w:cs="仿宋"/>
          <w:b/>
          <w:color w:val="auto"/>
          <w:kern w:val="2"/>
          <w:sz w:val="72"/>
          <w:szCs w:val="72"/>
          <w:highlight w:val="none"/>
        </w:rPr>
      </w:pPr>
      <w:r>
        <w:rPr>
          <w:rFonts w:hint="eastAsia" w:ascii="仿宋" w:hAnsi="仿宋" w:eastAsia="仿宋" w:cs="仿宋"/>
          <w:b/>
          <w:color w:val="auto"/>
          <w:kern w:val="2"/>
          <w:sz w:val="72"/>
          <w:szCs w:val="72"/>
          <w:highlight w:val="none"/>
        </w:rPr>
        <w:t>政府采购合同</w:t>
      </w:r>
    </w:p>
    <w:p w14:paraId="5585007A">
      <w:pPr>
        <w:widowControl/>
        <w:spacing w:line="480" w:lineRule="auto"/>
        <w:jc w:val="center"/>
        <w:rPr>
          <w:rFonts w:hint="eastAsia" w:ascii="仿宋" w:hAnsi="仿宋" w:eastAsia="仿宋" w:cs="仿宋"/>
          <w:b/>
          <w:color w:val="auto"/>
          <w:kern w:val="2"/>
          <w:sz w:val="36"/>
          <w:szCs w:val="24"/>
          <w:highlight w:val="none"/>
        </w:rPr>
      </w:pPr>
      <w:r>
        <w:rPr>
          <w:rFonts w:hint="eastAsia" w:ascii="仿宋" w:hAnsi="仿宋" w:eastAsia="仿宋" w:cs="仿宋"/>
          <w:b/>
          <w:color w:val="auto"/>
          <w:kern w:val="2"/>
          <w:sz w:val="36"/>
          <w:szCs w:val="24"/>
          <w:highlight w:val="none"/>
        </w:rPr>
        <w:t>（服务类）</w:t>
      </w:r>
    </w:p>
    <w:p w14:paraId="742E49E0">
      <w:pPr>
        <w:spacing w:after="200"/>
        <w:rPr>
          <w:rFonts w:hint="eastAsia" w:ascii="仿宋" w:hAnsi="仿宋" w:eastAsia="仿宋" w:cs="仿宋"/>
          <w:b/>
          <w:color w:val="auto"/>
          <w:kern w:val="2"/>
          <w:sz w:val="24"/>
          <w:szCs w:val="20"/>
          <w:highlight w:val="none"/>
        </w:rPr>
      </w:pPr>
    </w:p>
    <w:p w14:paraId="072D3F98">
      <w:pPr>
        <w:widowControl w:val="0"/>
        <w:spacing w:after="120"/>
        <w:ind w:firstLine="210" w:firstLineChars="100"/>
        <w:jc w:val="both"/>
        <w:rPr>
          <w:rFonts w:hint="eastAsia" w:ascii="仿宋" w:hAnsi="仿宋" w:eastAsia="仿宋" w:cs="仿宋"/>
          <w:color w:val="auto"/>
          <w:kern w:val="2"/>
          <w:sz w:val="21"/>
          <w:szCs w:val="22"/>
          <w:highlight w:val="none"/>
          <w:lang w:val="en-US" w:eastAsia="zh-CN" w:bidi="ar-SA"/>
        </w:rPr>
      </w:pPr>
    </w:p>
    <w:p w14:paraId="0D38852C">
      <w:pPr>
        <w:spacing w:after="200"/>
        <w:ind w:firstLine="560" w:firstLineChars="200"/>
        <w:jc w:val="both"/>
        <w:rPr>
          <w:rFonts w:hint="eastAsia" w:ascii="仿宋" w:hAnsi="仿宋" w:eastAsia="仿宋" w:cs="仿宋"/>
          <w:color w:val="auto"/>
          <w:spacing w:val="-6"/>
          <w:kern w:val="2"/>
          <w:sz w:val="28"/>
          <w:szCs w:val="28"/>
          <w:highlight w:val="none"/>
          <w:u w:val="single"/>
          <w:lang w:val="en-US" w:eastAsia="zh-CN"/>
        </w:rPr>
      </w:pPr>
      <w:r>
        <w:rPr>
          <w:rFonts w:hint="eastAsia" w:ascii="仿宋" w:hAnsi="仿宋" w:eastAsia="仿宋" w:cs="仿宋"/>
          <w:color w:val="auto"/>
          <w:kern w:val="2"/>
          <w:sz w:val="28"/>
          <w:szCs w:val="28"/>
          <w:highlight w:val="none"/>
        </w:rPr>
        <w:t>项  目  名  称：</w:t>
      </w:r>
      <w:r>
        <w:rPr>
          <w:rFonts w:hint="eastAsia" w:ascii="仿宋" w:hAnsi="仿宋" w:eastAsia="仿宋" w:cs="仿宋"/>
          <w:color w:val="auto"/>
          <w:kern w:val="2"/>
          <w:sz w:val="28"/>
          <w:szCs w:val="28"/>
          <w:highlight w:val="none"/>
          <w:u w:val="single"/>
          <w:lang w:eastAsia="zh-CN"/>
        </w:rPr>
        <w:t>宿迁市申报国际湿地城市认证技术服务项目</w:t>
      </w:r>
    </w:p>
    <w:p w14:paraId="3318376E">
      <w:pPr>
        <w:spacing w:after="200"/>
        <w:rPr>
          <w:rFonts w:hint="eastAsia" w:ascii="仿宋" w:hAnsi="仿宋" w:eastAsia="仿宋" w:cs="仿宋"/>
          <w:color w:val="auto"/>
          <w:kern w:val="2"/>
          <w:sz w:val="28"/>
          <w:szCs w:val="28"/>
          <w:highlight w:val="none"/>
        </w:rPr>
      </w:pPr>
    </w:p>
    <w:p w14:paraId="03547E16">
      <w:pPr>
        <w:spacing w:after="200"/>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项  目  地  点：</w:t>
      </w:r>
      <w:r>
        <w:rPr>
          <w:rFonts w:hint="eastAsia" w:ascii="仿宋" w:hAnsi="仿宋" w:eastAsia="仿宋" w:cs="仿宋"/>
          <w:color w:val="auto"/>
          <w:kern w:val="2"/>
          <w:sz w:val="28"/>
          <w:szCs w:val="28"/>
          <w:highlight w:val="none"/>
          <w:u w:val="single"/>
        </w:rPr>
        <w:t xml:space="preserve">   </w:t>
      </w:r>
      <w:r>
        <w:rPr>
          <w:rFonts w:hint="eastAsia" w:ascii="仿宋" w:hAnsi="仿宋" w:eastAsia="仿宋" w:cs="仿宋"/>
          <w:color w:val="auto"/>
          <w:kern w:val="2"/>
          <w:sz w:val="28"/>
          <w:szCs w:val="28"/>
          <w:highlight w:val="none"/>
          <w:u w:val="single"/>
          <w:lang w:val="en-US" w:eastAsia="zh-CN"/>
        </w:rPr>
        <w:t xml:space="preserve">     </w:t>
      </w:r>
      <w:r>
        <w:rPr>
          <w:rFonts w:hint="eastAsia" w:ascii="仿宋" w:hAnsi="仿宋" w:eastAsia="仿宋" w:cs="仿宋"/>
          <w:color w:val="auto"/>
          <w:kern w:val="2"/>
          <w:sz w:val="28"/>
          <w:szCs w:val="28"/>
          <w:highlight w:val="none"/>
          <w:u w:val="single"/>
        </w:rPr>
        <w:t>宿迁市</w:t>
      </w:r>
      <w:r>
        <w:rPr>
          <w:rFonts w:hint="eastAsia" w:ascii="仿宋" w:hAnsi="仿宋" w:eastAsia="仿宋" w:cs="仿宋"/>
          <w:color w:val="auto"/>
          <w:kern w:val="2"/>
          <w:sz w:val="28"/>
          <w:szCs w:val="28"/>
          <w:highlight w:val="none"/>
          <w:u w:val="single"/>
          <w:lang w:val="en-US" w:eastAsia="zh-CN"/>
        </w:rPr>
        <w:t xml:space="preserve">                       </w:t>
      </w:r>
      <w:r>
        <w:rPr>
          <w:rFonts w:hint="eastAsia" w:ascii="仿宋" w:hAnsi="仿宋" w:eastAsia="仿宋" w:cs="仿宋"/>
          <w:color w:val="auto"/>
          <w:kern w:val="2"/>
          <w:sz w:val="28"/>
          <w:szCs w:val="28"/>
          <w:highlight w:val="none"/>
          <w:u w:val="single"/>
        </w:rPr>
        <w:t xml:space="preserve"> </w:t>
      </w:r>
    </w:p>
    <w:p w14:paraId="2BABD1E4">
      <w:pPr>
        <w:spacing w:after="200"/>
        <w:rPr>
          <w:rFonts w:hint="eastAsia" w:ascii="仿宋" w:hAnsi="仿宋" w:eastAsia="仿宋" w:cs="仿宋"/>
          <w:color w:val="auto"/>
          <w:kern w:val="2"/>
          <w:sz w:val="28"/>
          <w:szCs w:val="28"/>
          <w:highlight w:val="none"/>
        </w:rPr>
      </w:pPr>
    </w:p>
    <w:p w14:paraId="0B6910B9">
      <w:pPr>
        <w:spacing w:after="200"/>
        <w:ind w:firstLine="560" w:firstLineChars="200"/>
        <w:rPr>
          <w:rFonts w:hint="eastAsia" w:ascii="仿宋" w:hAnsi="仿宋" w:eastAsia="仿宋" w:cs="仿宋"/>
          <w:color w:val="auto"/>
          <w:kern w:val="2"/>
          <w:sz w:val="28"/>
          <w:szCs w:val="28"/>
          <w:highlight w:val="none"/>
          <w:u w:val="single"/>
          <w:lang w:val="en-US" w:eastAsia="zh-CN"/>
        </w:rPr>
      </w:pPr>
      <w:r>
        <w:rPr>
          <w:rFonts w:hint="eastAsia" w:ascii="仿宋" w:hAnsi="仿宋" w:eastAsia="仿宋" w:cs="仿宋"/>
          <w:color w:val="auto"/>
          <w:kern w:val="2"/>
          <w:sz w:val="28"/>
          <w:szCs w:val="28"/>
          <w:highlight w:val="none"/>
        </w:rPr>
        <w:t>甲          方：</w:t>
      </w:r>
      <w:r>
        <w:rPr>
          <w:rFonts w:hint="eastAsia" w:ascii="仿宋" w:hAnsi="仿宋" w:eastAsia="仿宋" w:cs="仿宋"/>
          <w:color w:val="auto"/>
          <w:kern w:val="2"/>
          <w:sz w:val="28"/>
          <w:szCs w:val="28"/>
          <w:highlight w:val="none"/>
          <w:u w:val="single"/>
        </w:rPr>
        <w:t xml:space="preserve"> </w:t>
      </w:r>
      <w:r>
        <w:rPr>
          <w:rFonts w:hint="eastAsia" w:ascii="仿宋" w:hAnsi="仿宋" w:eastAsia="仿宋" w:cs="仿宋"/>
          <w:color w:val="auto"/>
          <w:kern w:val="2"/>
          <w:sz w:val="28"/>
          <w:szCs w:val="28"/>
          <w:highlight w:val="none"/>
          <w:u w:val="single"/>
          <w:lang w:val="en-US" w:eastAsia="zh-CN"/>
        </w:rPr>
        <w:t xml:space="preserve"> </w:t>
      </w:r>
      <w:r>
        <w:rPr>
          <w:rFonts w:hint="eastAsia" w:ascii="仿宋" w:hAnsi="仿宋" w:eastAsia="仿宋" w:cs="仿宋"/>
          <w:color w:val="auto"/>
          <w:kern w:val="2"/>
          <w:sz w:val="28"/>
          <w:szCs w:val="28"/>
          <w:highlight w:val="none"/>
          <w:u w:val="single"/>
          <w:lang w:eastAsia="zh-CN"/>
        </w:rPr>
        <w:t>宿迁市自然资源和规划局</w:t>
      </w:r>
      <w:r>
        <w:rPr>
          <w:rFonts w:hint="eastAsia" w:ascii="仿宋" w:hAnsi="仿宋" w:eastAsia="仿宋" w:cs="仿宋"/>
          <w:color w:val="auto"/>
          <w:kern w:val="2"/>
          <w:sz w:val="28"/>
          <w:szCs w:val="28"/>
          <w:highlight w:val="none"/>
          <w:u w:val="single"/>
          <w:lang w:val="en-US" w:eastAsia="zh-CN"/>
        </w:rPr>
        <w:t xml:space="preserve">             </w:t>
      </w:r>
      <w:r>
        <w:rPr>
          <w:rFonts w:hint="eastAsia" w:ascii="仿宋" w:hAnsi="仿宋" w:eastAsia="仿宋" w:cs="仿宋"/>
          <w:color w:val="auto"/>
          <w:kern w:val="2"/>
          <w:sz w:val="28"/>
          <w:szCs w:val="28"/>
          <w:highlight w:val="none"/>
          <w:u w:val="single"/>
        </w:rPr>
        <w:t xml:space="preserve"> </w:t>
      </w:r>
    </w:p>
    <w:p w14:paraId="28F5EBBE">
      <w:pPr>
        <w:spacing w:after="200"/>
        <w:rPr>
          <w:rFonts w:hint="eastAsia" w:ascii="仿宋" w:hAnsi="仿宋" w:eastAsia="仿宋" w:cs="仿宋"/>
          <w:color w:val="auto"/>
          <w:kern w:val="2"/>
          <w:sz w:val="28"/>
          <w:szCs w:val="28"/>
          <w:highlight w:val="none"/>
        </w:rPr>
      </w:pPr>
    </w:p>
    <w:p w14:paraId="744CF5B9">
      <w:pPr>
        <w:spacing w:after="200"/>
        <w:ind w:firstLine="560" w:firstLineChars="200"/>
        <w:rPr>
          <w:rFonts w:hint="eastAsia" w:ascii="仿宋" w:hAnsi="仿宋" w:eastAsia="仿宋" w:cs="仿宋"/>
          <w:color w:val="auto"/>
          <w:kern w:val="2"/>
          <w:sz w:val="28"/>
          <w:szCs w:val="28"/>
          <w:highlight w:val="none"/>
          <w:u w:val="single"/>
        </w:rPr>
      </w:pPr>
      <w:r>
        <w:rPr>
          <w:rFonts w:hint="eastAsia" w:ascii="仿宋" w:hAnsi="仿宋" w:eastAsia="仿宋" w:cs="仿宋"/>
          <w:color w:val="auto"/>
          <w:kern w:val="2"/>
          <w:sz w:val="28"/>
          <w:szCs w:val="28"/>
          <w:highlight w:val="none"/>
        </w:rPr>
        <w:t>乙          方：</w:t>
      </w:r>
      <w:r>
        <w:rPr>
          <w:rFonts w:hint="eastAsia" w:ascii="仿宋" w:hAnsi="仿宋" w:eastAsia="仿宋" w:cs="仿宋"/>
          <w:color w:val="auto"/>
          <w:kern w:val="2"/>
          <w:sz w:val="28"/>
          <w:szCs w:val="28"/>
          <w:highlight w:val="none"/>
          <w:u w:val="single"/>
          <w:lang w:val="en-US" w:eastAsia="zh-CN"/>
        </w:rPr>
        <w:t xml:space="preserve">                                      </w:t>
      </w:r>
      <w:r>
        <w:rPr>
          <w:rFonts w:hint="eastAsia" w:ascii="仿宋" w:hAnsi="仿宋" w:eastAsia="仿宋" w:cs="仿宋"/>
          <w:color w:val="auto"/>
          <w:kern w:val="2"/>
          <w:sz w:val="28"/>
          <w:szCs w:val="28"/>
          <w:highlight w:val="none"/>
          <w:u w:val="single"/>
        </w:rPr>
        <w:t xml:space="preserve"> </w:t>
      </w:r>
    </w:p>
    <w:p w14:paraId="5BB90FD5">
      <w:pPr>
        <w:spacing w:after="200"/>
        <w:rPr>
          <w:rFonts w:hint="eastAsia" w:ascii="仿宋" w:hAnsi="仿宋" w:eastAsia="仿宋" w:cs="仿宋"/>
          <w:color w:val="auto"/>
          <w:kern w:val="2"/>
          <w:sz w:val="28"/>
          <w:szCs w:val="28"/>
          <w:highlight w:val="none"/>
          <w:u w:val="single"/>
        </w:rPr>
      </w:pPr>
    </w:p>
    <w:p w14:paraId="3091FC92">
      <w:pPr>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签</w:t>
      </w:r>
      <w:r>
        <w:rPr>
          <w:rFonts w:hint="eastAsia" w:ascii="仿宋" w:hAnsi="仿宋" w:eastAsia="仿宋" w:cs="仿宋"/>
          <w:color w:val="auto"/>
          <w:kern w:val="2"/>
          <w:sz w:val="28"/>
          <w:szCs w:val="28"/>
          <w:highlight w:val="none"/>
          <w:lang w:val="en-US" w:eastAsia="zh-CN"/>
        </w:rPr>
        <w:t xml:space="preserve">  </w:t>
      </w:r>
      <w:r>
        <w:rPr>
          <w:rFonts w:hint="eastAsia" w:ascii="仿宋" w:hAnsi="仿宋" w:eastAsia="仿宋" w:cs="仿宋"/>
          <w:color w:val="auto"/>
          <w:kern w:val="2"/>
          <w:sz w:val="28"/>
          <w:szCs w:val="28"/>
          <w:highlight w:val="none"/>
        </w:rPr>
        <w:t>订</w:t>
      </w:r>
      <w:r>
        <w:rPr>
          <w:rFonts w:hint="eastAsia" w:ascii="仿宋" w:hAnsi="仿宋" w:eastAsia="仿宋" w:cs="仿宋"/>
          <w:color w:val="auto"/>
          <w:kern w:val="2"/>
          <w:sz w:val="28"/>
          <w:szCs w:val="28"/>
          <w:highlight w:val="none"/>
          <w:lang w:val="en-US" w:eastAsia="zh-CN"/>
        </w:rPr>
        <w:t xml:space="preserve">  </w:t>
      </w:r>
      <w:r>
        <w:rPr>
          <w:rFonts w:hint="eastAsia" w:ascii="仿宋" w:hAnsi="仿宋" w:eastAsia="仿宋" w:cs="仿宋"/>
          <w:color w:val="auto"/>
          <w:kern w:val="2"/>
          <w:sz w:val="28"/>
          <w:szCs w:val="28"/>
          <w:highlight w:val="none"/>
        </w:rPr>
        <w:t>日</w:t>
      </w:r>
      <w:r>
        <w:rPr>
          <w:rFonts w:hint="eastAsia" w:ascii="仿宋" w:hAnsi="仿宋" w:eastAsia="仿宋" w:cs="仿宋"/>
          <w:color w:val="auto"/>
          <w:kern w:val="2"/>
          <w:sz w:val="28"/>
          <w:szCs w:val="28"/>
          <w:highlight w:val="none"/>
          <w:lang w:val="en-US" w:eastAsia="zh-CN"/>
        </w:rPr>
        <w:t xml:space="preserve">  </w:t>
      </w:r>
      <w:r>
        <w:rPr>
          <w:rFonts w:hint="eastAsia" w:ascii="仿宋" w:hAnsi="仿宋" w:eastAsia="仿宋" w:cs="仿宋"/>
          <w:color w:val="auto"/>
          <w:kern w:val="2"/>
          <w:sz w:val="28"/>
          <w:szCs w:val="28"/>
          <w:highlight w:val="none"/>
        </w:rPr>
        <w:t>期：</w:t>
      </w:r>
      <w:r>
        <w:rPr>
          <w:rFonts w:hint="eastAsia" w:ascii="仿宋" w:hAnsi="仿宋" w:eastAsia="仿宋" w:cs="仿宋"/>
          <w:color w:val="auto"/>
          <w:kern w:val="2"/>
          <w:sz w:val="28"/>
          <w:szCs w:val="28"/>
          <w:highlight w:val="none"/>
          <w:lang w:val="en-US" w:eastAsia="zh-CN"/>
        </w:rPr>
        <w:t>2025</w:t>
      </w:r>
      <w:r>
        <w:rPr>
          <w:rFonts w:hint="eastAsia" w:ascii="仿宋" w:hAnsi="仿宋" w:eastAsia="仿宋" w:cs="仿宋"/>
          <w:color w:val="auto"/>
          <w:kern w:val="2"/>
          <w:sz w:val="28"/>
          <w:szCs w:val="28"/>
          <w:highlight w:val="none"/>
        </w:rPr>
        <w:t xml:space="preserve"> 年</w:t>
      </w:r>
      <w:r>
        <w:rPr>
          <w:rFonts w:hint="eastAsia" w:ascii="仿宋" w:hAnsi="仿宋" w:eastAsia="仿宋" w:cs="仿宋"/>
          <w:color w:val="auto"/>
          <w:kern w:val="2"/>
          <w:sz w:val="28"/>
          <w:szCs w:val="28"/>
          <w:highlight w:val="none"/>
          <w:lang w:val="en-US" w:eastAsia="zh-CN"/>
        </w:rPr>
        <w:t xml:space="preserve">  </w:t>
      </w:r>
      <w:r>
        <w:rPr>
          <w:rFonts w:hint="eastAsia" w:ascii="仿宋" w:hAnsi="仿宋" w:eastAsia="仿宋" w:cs="仿宋"/>
          <w:color w:val="auto"/>
          <w:kern w:val="2"/>
          <w:sz w:val="28"/>
          <w:szCs w:val="28"/>
          <w:highlight w:val="none"/>
        </w:rPr>
        <w:t xml:space="preserve">月  </w:t>
      </w:r>
      <w:r>
        <w:rPr>
          <w:rFonts w:hint="eastAsia" w:ascii="仿宋" w:hAnsi="仿宋" w:eastAsia="仿宋" w:cs="仿宋"/>
          <w:color w:val="auto"/>
          <w:kern w:val="2"/>
          <w:sz w:val="28"/>
          <w:szCs w:val="28"/>
          <w:highlight w:val="none"/>
          <w:lang w:val="en-US" w:eastAsia="zh-CN"/>
        </w:rPr>
        <w:t xml:space="preserve">  </w:t>
      </w:r>
      <w:r>
        <w:rPr>
          <w:rFonts w:hint="eastAsia" w:ascii="仿宋" w:hAnsi="仿宋" w:eastAsia="仿宋" w:cs="仿宋"/>
          <w:color w:val="auto"/>
          <w:kern w:val="2"/>
          <w:sz w:val="28"/>
          <w:szCs w:val="28"/>
          <w:highlight w:val="none"/>
        </w:rPr>
        <w:t>日</w:t>
      </w:r>
    </w:p>
    <w:p w14:paraId="1C50837D">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hint="eastAsia" w:ascii="仿宋" w:hAnsi="仿宋" w:eastAsia="仿宋" w:cs="仿宋"/>
          <w:b/>
          <w:bCs/>
          <w:color w:val="auto"/>
          <w:kern w:val="2"/>
          <w:sz w:val="30"/>
          <w:szCs w:val="20"/>
          <w:highlight w:val="none"/>
        </w:rPr>
      </w:pPr>
      <w:r>
        <w:rPr>
          <w:rFonts w:hint="eastAsia" w:ascii="仿宋" w:hAnsi="仿宋" w:eastAsia="仿宋" w:cs="仿宋"/>
          <w:bCs/>
          <w:color w:val="auto"/>
          <w:kern w:val="2"/>
          <w:sz w:val="24"/>
          <w:szCs w:val="21"/>
          <w:highlight w:val="none"/>
        </w:rPr>
        <w:br w:type="page"/>
      </w:r>
      <w:r>
        <w:rPr>
          <w:rFonts w:hint="eastAsia" w:ascii="仿宋" w:hAnsi="仿宋" w:eastAsia="仿宋" w:cs="仿宋"/>
          <w:b/>
          <w:color w:val="auto"/>
          <w:kern w:val="2"/>
          <w:sz w:val="30"/>
          <w:szCs w:val="21"/>
          <w:highlight w:val="none"/>
        </w:rPr>
        <w:t>政府采购合同</w:t>
      </w:r>
    </w:p>
    <w:p w14:paraId="5143EEB6">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项目名称：</w:t>
      </w:r>
      <w:r>
        <w:rPr>
          <w:rFonts w:hint="eastAsia" w:ascii="仿宋" w:hAnsi="仿宋" w:eastAsia="仿宋" w:cs="仿宋"/>
          <w:color w:val="auto"/>
          <w:kern w:val="2"/>
          <w:sz w:val="24"/>
          <w:szCs w:val="24"/>
          <w:highlight w:val="none"/>
          <w:lang w:eastAsia="zh-CN"/>
        </w:rPr>
        <w:t>宿迁市申报国际湿地城市认证技术服务项目</w:t>
      </w:r>
      <w:r>
        <w:rPr>
          <w:rFonts w:hint="eastAsia" w:ascii="仿宋" w:hAnsi="仿宋" w:eastAsia="仿宋" w:cs="仿宋"/>
          <w:color w:val="auto"/>
          <w:kern w:val="2"/>
          <w:sz w:val="24"/>
          <w:szCs w:val="24"/>
          <w:highlight w:val="none"/>
        </w:rPr>
        <w:t xml:space="preserve">  </w:t>
      </w:r>
    </w:p>
    <w:p w14:paraId="414431D0">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项目编号：</w:t>
      </w:r>
      <w:r>
        <w:rPr>
          <w:rFonts w:hint="eastAsia" w:ascii="仿宋" w:hAnsi="仿宋" w:eastAsia="仿宋" w:cs="仿宋"/>
          <w:color w:val="auto"/>
          <w:kern w:val="2"/>
          <w:sz w:val="24"/>
          <w:szCs w:val="24"/>
          <w:highlight w:val="none"/>
          <w:lang w:eastAsia="zh-CN"/>
        </w:rPr>
        <w:t>系统生成</w:t>
      </w:r>
    </w:p>
    <w:p w14:paraId="31C76932">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甲方：</w:t>
      </w:r>
      <w:r>
        <w:rPr>
          <w:rFonts w:hint="eastAsia" w:ascii="仿宋" w:hAnsi="仿宋" w:eastAsia="仿宋" w:cs="仿宋"/>
          <w:color w:val="auto"/>
          <w:kern w:val="2"/>
          <w:sz w:val="24"/>
          <w:szCs w:val="24"/>
          <w:highlight w:val="none"/>
          <w:u w:val="single"/>
        </w:rPr>
        <w:t>宿迁市自然资源和规划局</w:t>
      </w:r>
    </w:p>
    <w:p w14:paraId="4AE15F48">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u w:val="single"/>
          <w:lang w:val="en-US" w:eastAsia="zh-CN"/>
        </w:rPr>
      </w:pPr>
      <w:r>
        <w:rPr>
          <w:rFonts w:hint="eastAsia" w:ascii="仿宋" w:hAnsi="仿宋" w:eastAsia="仿宋" w:cs="仿宋"/>
          <w:color w:val="auto"/>
          <w:kern w:val="2"/>
          <w:sz w:val="24"/>
          <w:szCs w:val="24"/>
          <w:highlight w:val="none"/>
        </w:rPr>
        <w:t>乙方：</w:t>
      </w:r>
      <w:r>
        <w:rPr>
          <w:rFonts w:hint="eastAsia" w:ascii="仿宋" w:hAnsi="仿宋" w:eastAsia="仿宋" w:cs="仿宋"/>
          <w:color w:val="auto"/>
          <w:kern w:val="2"/>
          <w:sz w:val="24"/>
          <w:szCs w:val="24"/>
          <w:highlight w:val="none"/>
          <w:u w:val="single"/>
          <w:lang w:val="en-US" w:eastAsia="zh-CN"/>
        </w:rPr>
        <w:t xml:space="preserve">                      </w:t>
      </w:r>
    </w:p>
    <w:p w14:paraId="14ADAA23">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b/>
          <w:color w:val="auto"/>
          <w:kern w:val="2"/>
          <w:sz w:val="24"/>
          <w:szCs w:val="24"/>
          <w:highlight w:val="none"/>
        </w:rPr>
      </w:pPr>
      <w:r>
        <w:rPr>
          <w:rFonts w:hint="eastAsia" w:ascii="仿宋" w:hAnsi="仿宋" w:eastAsia="仿宋" w:cs="仿宋"/>
          <w:color w:val="auto"/>
          <w:kern w:val="2"/>
          <w:sz w:val="24"/>
          <w:szCs w:val="24"/>
          <w:highlight w:val="none"/>
        </w:rPr>
        <w:t>甲、乙双方根据</w:t>
      </w:r>
      <w:r>
        <w:rPr>
          <w:rFonts w:hint="eastAsia" w:ascii="仿宋" w:hAnsi="仿宋" w:eastAsia="仿宋" w:cs="仿宋"/>
          <w:color w:val="auto"/>
          <w:kern w:val="2"/>
          <w:sz w:val="24"/>
          <w:szCs w:val="24"/>
          <w:highlight w:val="none"/>
          <w:u w:val="single"/>
          <w:lang w:eastAsia="zh-CN"/>
        </w:rPr>
        <w:t>宿迁市申报国际湿地城市认证技术服务项目</w:t>
      </w:r>
      <w:r>
        <w:rPr>
          <w:rFonts w:hint="eastAsia" w:ascii="仿宋" w:hAnsi="仿宋" w:eastAsia="仿宋" w:cs="仿宋"/>
          <w:caps w:val="0"/>
          <w:smallCaps w:val="0"/>
          <w:color w:val="auto"/>
          <w:sz w:val="24"/>
          <w:szCs w:val="24"/>
          <w:highlight w:val="none"/>
        </w:rPr>
        <w:t>（项目编号</w:t>
      </w:r>
      <w:r>
        <w:rPr>
          <w:rFonts w:hint="eastAsia" w:ascii="仿宋" w:hAnsi="仿宋" w:eastAsia="仿宋" w:cs="仿宋"/>
          <w:caps w:val="0"/>
          <w:smallCaps w:val="0"/>
          <w:color w:val="auto"/>
          <w:sz w:val="24"/>
          <w:szCs w:val="24"/>
          <w:highlight w:val="none"/>
          <w:lang w:eastAsia="zh-CN"/>
        </w:rPr>
        <w:t>：</w:t>
      </w:r>
      <w:r>
        <w:rPr>
          <w:rFonts w:hint="eastAsia" w:ascii="仿宋" w:hAnsi="仿宋" w:eastAsia="仿宋" w:cs="仿宋"/>
          <w:caps w:val="0"/>
          <w:smallCaps w:val="0"/>
          <w:color w:val="auto"/>
          <w:sz w:val="24"/>
          <w:szCs w:val="24"/>
          <w:highlight w:val="none"/>
          <w:lang w:val="en-US" w:eastAsia="zh-CN"/>
        </w:rPr>
        <w:t>系统生成</w:t>
      </w:r>
      <w:r>
        <w:rPr>
          <w:rFonts w:hint="eastAsia" w:ascii="仿宋" w:hAnsi="仿宋" w:eastAsia="仿宋" w:cs="仿宋"/>
          <w:caps w:val="0"/>
          <w:smallCaps w:val="0"/>
          <w:color w:val="auto"/>
          <w:sz w:val="24"/>
          <w:szCs w:val="24"/>
          <w:highlight w:val="none"/>
        </w:rPr>
        <w:t>）</w:t>
      </w:r>
      <w:r>
        <w:rPr>
          <w:rFonts w:hint="eastAsia" w:ascii="仿宋" w:hAnsi="仿宋" w:eastAsia="仿宋" w:cs="仿宋"/>
          <w:color w:val="auto"/>
          <w:kern w:val="2"/>
          <w:sz w:val="24"/>
          <w:szCs w:val="24"/>
          <w:highlight w:val="none"/>
          <w:lang w:eastAsia="zh-CN"/>
        </w:rPr>
        <w:t>公开招标</w:t>
      </w:r>
      <w:r>
        <w:rPr>
          <w:rFonts w:hint="eastAsia" w:ascii="仿宋" w:hAnsi="仿宋" w:eastAsia="仿宋" w:cs="仿宋"/>
          <w:color w:val="auto"/>
          <w:kern w:val="2"/>
          <w:sz w:val="24"/>
          <w:szCs w:val="24"/>
          <w:highlight w:val="none"/>
        </w:rPr>
        <w:t>的结果，签署本合同。</w:t>
      </w:r>
    </w:p>
    <w:p w14:paraId="2A345F0E">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一、合同内容</w:t>
      </w:r>
    </w:p>
    <w:p w14:paraId="5F88DFB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1.1 标的名称：</w:t>
      </w:r>
      <w:r>
        <w:rPr>
          <w:rFonts w:hint="eastAsia" w:ascii="仿宋" w:hAnsi="仿宋" w:eastAsia="仿宋" w:cs="仿宋"/>
          <w:color w:val="auto"/>
          <w:kern w:val="2"/>
          <w:sz w:val="24"/>
          <w:szCs w:val="24"/>
          <w:highlight w:val="none"/>
          <w:lang w:eastAsia="zh-CN"/>
        </w:rPr>
        <w:t>宿迁市申报国际湿地城市认证技术服务项目</w:t>
      </w:r>
    </w:p>
    <w:p w14:paraId="60BC89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1.2 标的质量：</w:t>
      </w:r>
      <w:r>
        <w:rPr>
          <w:rFonts w:hint="eastAsia" w:ascii="仿宋" w:hAnsi="仿宋" w:eastAsia="仿宋" w:cs="仿宋"/>
          <w:color w:val="auto"/>
          <w:kern w:val="2"/>
          <w:sz w:val="24"/>
          <w:szCs w:val="24"/>
          <w:highlight w:val="none"/>
          <w:lang w:eastAsia="zh-CN"/>
        </w:rPr>
        <w:t>符合国际湿地城市认证标准，获得国际湿地城市授牌</w:t>
      </w:r>
    </w:p>
    <w:p w14:paraId="4A396E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1.3 标的数量（规模）：</w:t>
      </w:r>
      <w:r>
        <w:rPr>
          <w:rFonts w:hint="eastAsia" w:ascii="仿宋" w:hAnsi="仿宋" w:eastAsia="仿宋" w:cs="仿宋"/>
          <w:color w:val="auto"/>
          <w:kern w:val="2"/>
          <w:sz w:val="24"/>
          <w:szCs w:val="24"/>
          <w:highlight w:val="none"/>
          <w:lang w:val="en-US" w:eastAsia="zh-CN"/>
        </w:rPr>
        <w:t>1项</w:t>
      </w:r>
    </w:p>
    <w:p w14:paraId="3BE8EE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1.4 履行时间（期限）：</w:t>
      </w:r>
      <w:r>
        <w:rPr>
          <w:rFonts w:hint="eastAsia" w:ascii="仿宋" w:hAnsi="仿宋" w:eastAsia="仿宋" w:cs="仿宋"/>
          <w:color w:val="auto"/>
          <w:kern w:val="2"/>
          <w:sz w:val="24"/>
          <w:szCs w:val="24"/>
          <w:highlight w:val="none"/>
          <w:lang w:eastAsia="zh-CN"/>
        </w:rPr>
        <w:t>自合同签订之日起至2028年8月31日完成</w:t>
      </w:r>
      <w:r>
        <w:rPr>
          <w:rFonts w:hint="eastAsia" w:ascii="仿宋" w:hAnsi="仿宋" w:eastAsia="仿宋" w:cs="仿宋"/>
          <w:color w:val="auto"/>
          <w:kern w:val="2"/>
          <w:sz w:val="24"/>
          <w:szCs w:val="24"/>
          <w:highlight w:val="none"/>
        </w:rPr>
        <w:t>（具体以《国际湿地公约》第十六届缔约方大会结束时间为准）</w:t>
      </w:r>
      <w:r>
        <w:rPr>
          <w:rFonts w:hint="eastAsia" w:ascii="仿宋" w:hAnsi="仿宋" w:eastAsia="仿宋" w:cs="仿宋"/>
          <w:color w:val="auto"/>
          <w:kern w:val="2"/>
          <w:sz w:val="24"/>
          <w:szCs w:val="24"/>
          <w:highlight w:val="none"/>
          <w:lang w:eastAsia="zh-CN"/>
        </w:rPr>
        <w:t>。</w:t>
      </w:r>
    </w:p>
    <w:p w14:paraId="3F74DAF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rPr>
      </w:pPr>
      <w:r>
        <w:rPr>
          <w:rFonts w:hint="eastAsia" w:ascii="仿宋" w:hAnsi="仿宋" w:eastAsia="仿宋" w:cs="仿宋"/>
          <w:color w:val="auto"/>
          <w:kern w:val="2"/>
          <w:sz w:val="24"/>
          <w:szCs w:val="24"/>
          <w:highlight w:val="none"/>
        </w:rPr>
        <w:t>1.5 履行地点：</w:t>
      </w:r>
      <w:r>
        <w:rPr>
          <w:rFonts w:hint="eastAsia" w:ascii="仿宋" w:hAnsi="仿宋" w:eastAsia="仿宋" w:cs="仿宋"/>
          <w:color w:val="auto"/>
          <w:kern w:val="2"/>
          <w:sz w:val="24"/>
          <w:szCs w:val="24"/>
          <w:highlight w:val="none"/>
          <w:lang w:val="en-US" w:eastAsia="zh-CN"/>
        </w:rPr>
        <w:t>甲方指定地点</w:t>
      </w:r>
    </w:p>
    <w:p w14:paraId="617512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1.6履行方式：</w:t>
      </w:r>
      <w:r>
        <w:rPr>
          <w:rFonts w:hint="eastAsia" w:ascii="仿宋" w:hAnsi="仿宋" w:eastAsia="仿宋" w:cs="仿宋"/>
          <w:color w:val="auto"/>
          <w:kern w:val="2"/>
          <w:sz w:val="24"/>
          <w:szCs w:val="24"/>
          <w:highlight w:val="none"/>
        </w:rPr>
        <w:t>乙方应当在甲方确定的时间、指定的地点履行合同</w:t>
      </w:r>
      <w:r>
        <w:rPr>
          <w:rFonts w:hint="eastAsia" w:ascii="仿宋" w:hAnsi="仿宋" w:eastAsia="仿宋" w:cs="仿宋"/>
          <w:color w:val="auto"/>
          <w:kern w:val="2"/>
          <w:sz w:val="24"/>
          <w:szCs w:val="24"/>
          <w:highlight w:val="none"/>
          <w:lang w:eastAsia="zh-CN"/>
        </w:rPr>
        <w:t>。</w:t>
      </w:r>
    </w:p>
    <w:p w14:paraId="0D5E1B1A">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二、合同金额</w:t>
      </w:r>
    </w:p>
    <w:p w14:paraId="490B25E2">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2.1</w:t>
      </w:r>
      <w:r>
        <w:rPr>
          <w:rFonts w:hint="eastAsia" w:ascii="仿宋" w:hAnsi="仿宋" w:eastAsia="仿宋" w:cs="仿宋"/>
          <w:color w:val="auto"/>
          <w:kern w:val="2"/>
          <w:sz w:val="24"/>
          <w:szCs w:val="24"/>
          <w:highlight w:val="none"/>
        </w:rPr>
        <w:t>本合同金额为（大写）：</w:t>
      </w:r>
      <w:r>
        <w:rPr>
          <w:rFonts w:hint="eastAsia" w:ascii="仿宋" w:hAnsi="仿宋" w:eastAsia="仿宋" w:cs="仿宋"/>
          <w:color w:val="auto"/>
          <w:kern w:val="2"/>
          <w:sz w:val="24"/>
          <w:szCs w:val="24"/>
          <w:highlight w:val="none"/>
          <w:u w:val="single"/>
          <w:lang w:val="en-US" w:eastAsia="zh-CN"/>
        </w:rPr>
        <w:t xml:space="preserve">           元</w:t>
      </w:r>
      <w:r>
        <w:rPr>
          <w:rFonts w:hint="eastAsia" w:ascii="仿宋" w:hAnsi="仿宋" w:eastAsia="仿宋" w:cs="仿宋"/>
          <w:color w:val="auto"/>
          <w:kern w:val="2"/>
          <w:sz w:val="24"/>
          <w:szCs w:val="24"/>
          <w:highlight w:val="none"/>
        </w:rPr>
        <w:t>（________元）人民币。</w:t>
      </w:r>
    </w:p>
    <w:p w14:paraId="3B5EB4F8">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rPr>
      </w:pPr>
      <w:r>
        <w:rPr>
          <w:rFonts w:hint="eastAsia" w:ascii="仿宋" w:hAnsi="仿宋" w:eastAsia="仿宋" w:cs="仿宋"/>
          <w:b/>
          <w:color w:val="auto"/>
          <w:kern w:val="2"/>
          <w:sz w:val="24"/>
          <w:szCs w:val="24"/>
          <w:highlight w:val="none"/>
          <w:lang w:val="en-US" w:eastAsia="zh-CN"/>
        </w:rPr>
        <w:t>三、服务</w:t>
      </w:r>
      <w:r>
        <w:rPr>
          <w:rFonts w:hint="eastAsia" w:ascii="仿宋" w:hAnsi="仿宋" w:eastAsia="仿宋" w:cs="仿宋"/>
          <w:b/>
          <w:color w:val="auto"/>
          <w:kern w:val="2"/>
          <w:sz w:val="24"/>
          <w:szCs w:val="24"/>
          <w:highlight w:val="none"/>
          <w:lang w:eastAsia="zh-CN"/>
        </w:rPr>
        <w:t>内容</w:t>
      </w:r>
      <w:r>
        <w:rPr>
          <w:rFonts w:hint="eastAsia" w:ascii="仿宋" w:hAnsi="仿宋" w:eastAsia="仿宋" w:cs="仿宋"/>
          <w:b/>
          <w:color w:val="auto"/>
          <w:kern w:val="2"/>
          <w:sz w:val="24"/>
          <w:szCs w:val="24"/>
          <w:highlight w:val="none"/>
          <w:lang w:val="en-US" w:eastAsia="zh-CN"/>
        </w:rPr>
        <w:t>及要求</w:t>
      </w:r>
    </w:p>
    <w:p w14:paraId="406CBFF4">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按照国家林业和草原局办公室颁发的《国际湿地城市认证提名办法》编制国际湿地城市认证材料，服务主要内容（</w:t>
      </w:r>
      <w:r>
        <w:rPr>
          <w:rFonts w:hint="eastAsia" w:ascii="仿宋" w:hAnsi="仿宋" w:eastAsia="仿宋" w:cs="仿宋"/>
          <w:color w:val="auto"/>
          <w:kern w:val="2"/>
          <w:sz w:val="24"/>
          <w:szCs w:val="24"/>
          <w:highlight w:val="none"/>
          <w:lang w:eastAsia="zh-CN"/>
        </w:rPr>
        <w:t>包括但不限于以下内容）：</w:t>
      </w:r>
    </w:p>
    <w:p w14:paraId="4F20051C">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3.1湿地资源调查：对全市湖泊、河流等湿地资源及其分布进行摸底调查，开展湿地动植物、湿地生态系统等方面的全面调查，强化外来入侵物种普查；对湿地生物多样性、保护管理现状等进行综合评估，完成《宿迁市湿地科学考察评估报告》。</w:t>
      </w:r>
    </w:p>
    <w:p w14:paraId="1A4F3AB1">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3.2结合国际湿地城市申报标准，开展宿迁市湿地城市建设规划，编制完成《宿迁市国际湿地城市总体规划》。</w:t>
      </w:r>
    </w:p>
    <w:p w14:paraId="1FE150B7">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3.3制作宿迁市湿地中英文双语宣传片、宿迁市湿地画册等宣传材料及宿迁城市知名度宣传推广工作。</w:t>
      </w:r>
    </w:p>
    <w:p w14:paraId="4CF7160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3.4</w:t>
      </w:r>
      <w:r>
        <w:rPr>
          <w:rFonts w:hint="eastAsia" w:ascii="仿宋" w:hAnsi="仿宋" w:eastAsia="仿宋" w:cs="仿宋"/>
          <w:i w:val="0"/>
          <w:iCs w:val="0"/>
          <w:color w:val="auto"/>
          <w:kern w:val="2"/>
          <w:sz w:val="24"/>
          <w:szCs w:val="24"/>
          <w:highlight w:val="none"/>
          <w:lang w:val="en-US" w:eastAsia="zh-CN"/>
        </w:rPr>
        <w:t>协助有关单位做好国家（国际）重要湿地相关工作</w:t>
      </w:r>
      <w:r>
        <w:rPr>
          <w:rFonts w:hint="eastAsia" w:ascii="仿宋" w:hAnsi="仿宋" w:eastAsia="仿宋" w:cs="仿宋"/>
          <w:color w:val="auto"/>
          <w:kern w:val="2"/>
          <w:sz w:val="24"/>
          <w:szCs w:val="24"/>
          <w:highlight w:val="none"/>
          <w:lang w:val="en-US" w:eastAsia="zh-CN"/>
        </w:rPr>
        <w:t>。</w:t>
      </w:r>
    </w:p>
    <w:p w14:paraId="7C8F397D">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3.5根据宿迁市湿地资源情况，在重要河流开展湿地保护载体建设，提升全市湿地保护率。</w:t>
      </w:r>
    </w:p>
    <w:p w14:paraId="3F850E25">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3.6针对重要湿地，制定重要湿地管理计划，编制宿迁市省级以上重要湿地生态特征变化预警方案，开展动态监测评估，出具评估报告。</w:t>
      </w:r>
    </w:p>
    <w:p w14:paraId="6293D5E1">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3.7多形式多渠道开展湿地保护知识宣传，开展“湿地学校”申报评定等相关工作。</w:t>
      </w:r>
    </w:p>
    <w:p w14:paraId="5FE40235">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3.8开展湿地保护修复提升及申报流程等相关知识培训工作。</w:t>
      </w:r>
    </w:p>
    <w:p w14:paraId="56C72BDE">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3.9负责档案材料收集、整理，协助相关会议准备工作。</w:t>
      </w:r>
    </w:p>
    <w:p w14:paraId="0AC90893">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3.10根据国内认证标准，完成申报书及佐证材料、申报视频制作等。根据国际认证标准，完成认证提名表及佐证材料、申报视频、各类汇编材料英文版等。</w:t>
      </w:r>
    </w:p>
    <w:p w14:paraId="33C3BC7E">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3.11做好迎接国家/国际、省考察评估阶段陈述答辩材料、协助实地核查现场指导等相关工作。</w:t>
      </w:r>
    </w:p>
    <w:p w14:paraId="76C9A1AA">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四、提交的成果</w:t>
      </w:r>
    </w:p>
    <w:p w14:paraId="38B507ED">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4.1《宿迁市申报国际湿地城市综合报告》；</w:t>
      </w:r>
    </w:p>
    <w:p w14:paraId="71367DDF">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4.2《宿迁市申报国际湿地城市综合报告——简本》；</w:t>
      </w:r>
    </w:p>
    <w:p w14:paraId="4F745626">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4.3《宿迁市申报国际湿地城市综合报告——附件》；</w:t>
      </w:r>
    </w:p>
    <w:p w14:paraId="677748B6">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4.4宿迁市《国际湿地城市推荐书》；</w:t>
      </w:r>
    </w:p>
    <w:p w14:paraId="5516A43C">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4.5宿迁市《湿地城市认证提名表》（中、英文版）；</w:t>
      </w:r>
    </w:p>
    <w:p w14:paraId="38C61CE4">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4.6《宿迁市湿地科学考察评估报告》；</w:t>
      </w:r>
    </w:p>
    <w:p w14:paraId="232D7D78">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4.7《宿迁市国际湿地城市总体规划》；</w:t>
      </w:r>
    </w:p>
    <w:p w14:paraId="6FF5A509">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4.8《宿迁市省级以上重要湿地管理计划（2025-2028年）》；</w:t>
      </w:r>
    </w:p>
    <w:p w14:paraId="345E2E61">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4.9《宿迁市省级以上重要湿地生态特征变化预警方案（2025-2028年）》；</w:t>
      </w:r>
    </w:p>
    <w:p w14:paraId="0AFC6B42">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4.10《宿迁市省级以上重要湿地年度动态监测评估报告》；</w:t>
      </w:r>
    </w:p>
    <w:p w14:paraId="5F1B855D">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4.11宿迁市省级以上重要湿地保护修复资料汇编；</w:t>
      </w:r>
    </w:p>
    <w:p w14:paraId="0F82017F">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4.12《宿迁市湿地合理利用资料汇编》；</w:t>
      </w:r>
    </w:p>
    <w:p w14:paraId="40A79DB8">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4.13《宿迁市湿地宣教工作资料汇编》；</w:t>
      </w:r>
    </w:p>
    <w:p w14:paraId="1C39EAA0">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4.14</w:t>
      </w:r>
      <w:r>
        <w:rPr>
          <w:rFonts w:hint="eastAsia" w:ascii="仿宋" w:hAnsi="仿宋" w:eastAsia="仿宋" w:cs="仿宋"/>
          <w:i w:val="0"/>
          <w:iCs w:val="0"/>
          <w:color w:val="auto"/>
          <w:kern w:val="2"/>
          <w:sz w:val="24"/>
          <w:szCs w:val="24"/>
          <w:highlight w:val="none"/>
          <w:lang w:val="en-US" w:eastAsia="zh-CN"/>
        </w:rPr>
        <w:t>宿迁市湿地双语宣传片（中、英文版），时长：8-10分钟；</w:t>
      </w:r>
    </w:p>
    <w:p w14:paraId="2794A8BC">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4.15 宿迁市湿地画册；</w:t>
      </w:r>
    </w:p>
    <w:p w14:paraId="28943AFC">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4.16 宿迁市人民政府创建国际湿地城市工作汇报材料。</w:t>
      </w:r>
    </w:p>
    <w:p w14:paraId="04706F30">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五、服务成果要求</w:t>
      </w:r>
    </w:p>
    <w:p w14:paraId="4809BC66">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 xml:space="preserve">5.1服务成果内容须符合本次项目需求，形式为文本、图纸、调查资料数据汇编、电子文档、图片、视频等。 </w:t>
      </w:r>
    </w:p>
    <w:p w14:paraId="50B2F81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5.2</w:t>
      </w:r>
      <w:r>
        <w:rPr>
          <w:rFonts w:hint="eastAsia" w:ascii="仿宋" w:hAnsi="仿宋" w:eastAsia="仿宋" w:cs="仿宋"/>
          <w:i w:val="0"/>
          <w:iCs w:val="0"/>
          <w:color w:val="auto"/>
          <w:kern w:val="2"/>
          <w:sz w:val="24"/>
          <w:szCs w:val="24"/>
          <w:highlight w:val="none"/>
          <w:lang w:val="en-US" w:eastAsia="zh-CN"/>
        </w:rPr>
        <w:t>服务成果及附属文件须满足“国家林业和草原局办公室关于印发《国际湿地城市认证提名办法》的通知”要求，获得国际湿地城市申报认证。</w:t>
      </w:r>
      <w:r>
        <w:rPr>
          <w:rFonts w:hint="eastAsia" w:ascii="仿宋" w:hAnsi="仿宋" w:eastAsia="仿宋" w:cs="仿宋"/>
          <w:color w:val="auto"/>
          <w:kern w:val="2"/>
          <w:sz w:val="24"/>
          <w:szCs w:val="24"/>
          <w:highlight w:val="none"/>
          <w:lang w:val="en-US" w:eastAsia="zh-CN"/>
        </w:rPr>
        <w:t xml:space="preserve"> </w:t>
      </w:r>
    </w:p>
    <w:p w14:paraId="010114A9">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5.3服务流程及服务成果须符合最新的国家、省市及其他相关的行业规范和技术标准。</w:t>
      </w:r>
    </w:p>
    <w:p w14:paraId="646DFD16">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六、进度要求</w:t>
      </w:r>
    </w:p>
    <w:p w14:paraId="2DA2FE43">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6.1前期实地调查阶段：合同签订后60日历天内，完成湿地资源调查。</w:t>
      </w:r>
    </w:p>
    <w:p w14:paraId="6BDDE3C5">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6.2数据整合分析及相关材料编制阶段：合同签订后180日历天内，提交初步成果。甲方审核，提出完善意见。</w:t>
      </w:r>
    </w:p>
    <w:p w14:paraId="4AA58643">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6.3申报服务阶段：2026年6月30日前（具体根据国家文件要求），协助甲方完成省林业局对申报材料的审核并上报国家林草局，在2026年12月前协助甲方提交国家林草局审核并提交国际湿地公约秘书处（具体根据甲方及主管部门要求执行）。</w:t>
      </w:r>
    </w:p>
    <w:p w14:paraId="6D2C1E14">
      <w:pPr>
        <w:keepNext w:val="0"/>
        <w:keepLines w:val="0"/>
        <w:pageBreakBefore w:val="0"/>
        <w:widowControl w:val="0"/>
        <w:kinsoku/>
        <w:wordWrap/>
        <w:overflowPunct/>
        <w:topLinePunct w:val="0"/>
        <w:autoSpaceDE w:val="0"/>
        <w:autoSpaceDN w:val="0"/>
        <w:bidi w:val="0"/>
        <w:adjustRightInd/>
        <w:snapToGrid/>
        <w:spacing w:before="0" w:after="0" w:line="360" w:lineRule="auto"/>
        <w:ind w:left="0" w:firstLine="480" w:firstLineChars="20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i w:val="0"/>
          <w:iCs w:val="0"/>
          <w:color w:val="auto"/>
          <w:sz w:val="24"/>
          <w:szCs w:val="24"/>
          <w:highlight w:val="none"/>
          <w:lang w:val="en-US" w:eastAsia="zh-CN" w:bidi="ar-SA"/>
        </w:rPr>
        <w:t>6.4项目跟踪服务阶段：协助宿迁市政府完成申报认证相关工作。</w:t>
      </w:r>
    </w:p>
    <w:p w14:paraId="178B07DE">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七、技术资料</w:t>
      </w:r>
    </w:p>
    <w:p w14:paraId="51C08FAD">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7</w:t>
      </w:r>
      <w:r>
        <w:rPr>
          <w:rFonts w:hint="eastAsia" w:ascii="仿宋" w:hAnsi="仿宋" w:eastAsia="仿宋" w:cs="仿宋"/>
          <w:color w:val="auto"/>
          <w:kern w:val="2"/>
          <w:sz w:val="24"/>
          <w:szCs w:val="24"/>
          <w:highlight w:val="none"/>
        </w:rPr>
        <w:t>.1乙方应按</w:t>
      </w:r>
      <w:r>
        <w:rPr>
          <w:rFonts w:hint="eastAsia" w:ascii="仿宋" w:hAnsi="仿宋" w:eastAsia="仿宋" w:cs="仿宋"/>
          <w:color w:val="auto"/>
          <w:kern w:val="2"/>
          <w:sz w:val="24"/>
          <w:szCs w:val="24"/>
          <w:highlight w:val="none"/>
          <w:lang w:eastAsia="zh-CN"/>
        </w:rPr>
        <w:t>招标文件</w:t>
      </w:r>
      <w:r>
        <w:rPr>
          <w:rFonts w:hint="eastAsia" w:ascii="仿宋" w:hAnsi="仿宋" w:eastAsia="仿宋" w:cs="仿宋"/>
          <w:color w:val="auto"/>
          <w:kern w:val="2"/>
          <w:sz w:val="24"/>
          <w:szCs w:val="24"/>
          <w:highlight w:val="none"/>
        </w:rPr>
        <w:t>规定的时间向甲方提供与合同标的有关的技术资料。</w:t>
      </w:r>
    </w:p>
    <w:p w14:paraId="55B65F0D">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7.</w:t>
      </w:r>
      <w:r>
        <w:rPr>
          <w:rFonts w:hint="eastAsia" w:ascii="仿宋" w:hAnsi="仿宋" w:eastAsia="仿宋" w:cs="仿宋"/>
          <w:color w:val="auto"/>
          <w:kern w:val="2"/>
          <w:sz w:val="24"/>
          <w:szCs w:val="24"/>
          <w:highlight w:val="none"/>
        </w:rPr>
        <w:t>2 没有甲方事先书面同意，乙方不得将由甲方提供的有关合同或任何合同条文、计划或资料提供给与履行本合同无关的任何其他人。即使向履行本合同有关的人员提供，也应注意保密并限于履行合同的必需范围。</w:t>
      </w:r>
    </w:p>
    <w:p w14:paraId="0E512986">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7</w:t>
      </w:r>
      <w:r>
        <w:rPr>
          <w:rFonts w:hint="eastAsia" w:ascii="仿宋" w:hAnsi="仿宋" w:eastAsia="仿宋" w:cs="仿宋"/>
          <w:color w:val="auto"/>
          <w:kern w:val="2"/>
          <w:sz w:val="24"/>
          <w:szCs w:val="24"/>
          <w:highlight w:val="none"/>
        </w:rPr>
        <w:t>.3乙方在履行合同过程中借用甲方的技术资料，在本合同任务完成后，全部归还给甲方；</w:t>
      </w:r>
    </w:p>
    <w:p w14:paraId="23284154">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7</w:t>
      </w:r>
      <w:r>
        <w:rPr>
          <w:rFonts w:hint="eastAsia" w:ascii="仿宋" w:hAnsi="仿宋" w:eastAsia="仿宋" w:cs="仿宋"/>
          <w:color w:val="auto"/>
          <w:kern w:val="2"/>
          <w:sz w:val="24"/>
          <w:szCs w:val="24"/>
          <w:highlight w:val="none"/>
        </w:rPr>
        <w:t>.4本条规定在本合同终止后亦有效。</w:t>
      </w:r>
    </w:p>
    <w:p w14:paraId="270BE327">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八、知识产权</w:t>
      </w:r>
    </w:p>
    <w:p w14:paraId="395DB32F">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8.1</w:t>
      </w:r>
      <w:r>
        <w:rPr>
          <w:rFonts w:hint="eastAsia" w:ascii="仿宋" w:hAnsi="仿宋" w:eastAsia="仿宋" w:cs="仿宋"/>
          <w:color w:val="auto"/>
          <w:kern w:val="2"/>
          <w:sz w:val="24"/>
          <w:szCs w:val="24"/>
          <w:highlight w:val="none"/>
        </w:rPr>
        <w:t>乙方应保证甲方在使用、接受本合同标的或其任何一部分时不受第三方提出侵犯其专利权、版权、商标权和工业设计权等知识产权的起诉。一旦出现侵权，由乙</w:t>
      </w:r>
      <w:r>
        <w:rPr>
          <w:rFonts w:hint="eastAsia" w:ascii="仿宋" w:hAnsi="仿宋" w:eastAsia="仿宋" w:cs="仿宋"/>
          <w:color w:val="auto"/>
          <w:kern w:val="2"/>
          <w:sz w:val="24"/>
          <w:szCs w:val="24"/>
          <w:highlight w:val="none"/>
          <w:lang w:val="en-US" w:eastAsia="zh-CN"/>
        </w:rPr>
        <w:t>方负全部责任并承担费用及赔偿（包括但不限于诉讼费、第三方索赔款等）。</w:t>
      </w:r>
    </w:p>
    <w:p w14:paraId="0AB17320">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8.2除合同条款另有约定外，甲方提供给乙方基础技术材料与政策文件以及反映甲方要求的或其他类似性质的文件的著作权属于甲方，乙方可以为实现合同目的而复制、使用此类文件，但不能用于与合同无关的其他事项。</w:t>
      </w:r>
    </w:p>
    <w:p w14:paraId="55AD6063">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8.3除合同条款另有约定外，乙方为实施合同所编制的文件、视频、画册、宣传片等，著作权均属于甲方，乙方可因实施合同目的需要而复制、使用此类文件，但不能用于与合同无关的其他事项。</w:t>
      </w:r>
    </w:p>
    <w:p w14:paraId="7C22322A">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8.4合同当事人保证在履行合同过程中不侵犯对方及第三方的知识产权。乙方在实施合同时侵犯他人的专利权或其他知识产权所引起的责任，由乙方承担（包括但不限于诉讼费、第三方索赔等）。</w:t>
      </w:r>
    </w:p>
    <w:p w14:paraId="08AAD6EE">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8.5合同当事人双方均有权在不损害对方利益和保密约定的前提下，在自己宣传用的印刷品或其他出版物上，或申报奖项时等情形下公布有关文件的文字和图片材料。</w:t>
      </w:r>
    </w:p>
    <w:p w14:paraId="473470CB">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color w:val="auto"/>
          <w:highlight w:val="none"/>
        </w:rPr>
      </w:pPr>
      <w:r>
        <w:rPr>
          <w:rFonts w:hint="eastAsia" w:ascii="仿宋" w:hAnsi="仿宋" w:eastAsia="仿宋" w:cs="仿宋"/>
          <w:color w:val="auto"/>
          <w:kern w:val="2"/>
          <w:sz w:val="24"/>
          <w:szCs w:val="24"/>
          <w:highlight w:val="none"/>
          <w:lang w:val="en-US" w:eastAsia="zh-CN"/>
        </w:rPr>
        <w:t>8.6除合同条款另有约定外，乙方在合同签订前和签订时已确定采用的专利、专有技术的使用费应包含在签约合同价中。</w:t>
      </w:r>
    </w:p>
    <w:p w14:paraId="4B332D53">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九、产权担保</w:t>
      </w:r>
    </w:p>
    <w:p w14:paraId="42D28AA6">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乙方保证所交付的合同标的的所有权完全属于乙方且无任何抵押、查封等产权瑕疵。</w:t>
      </w:r>
    </w:p>
    <w:p w14:paraId="1DA1773B">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十、履约保证金</w:t>
      </w:r>
    </w:p>
    <w:p w14:paraId="76E7EC87">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本项目不收取履约保证金</w:t>
      </w:r>
    </w:p>
    <w:p w14:paraId="0E9AA029">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十一、合同转包或分包</w:t>
      </w:r>
    </w:p>
    <w:p w14:paraId="588503B7">
      <w:pPr>
        <w:keepNext w:val="0"/>
        <w:keepLines w:val="0"/>
        <w:pageBreakBefore w:val="0"/>
        <w:widowControl w:val="0"/>
        <w:kinsoku/>
        <w:wordWrap/>
        <w:overflowPunct/>
        <w:topLinePunct w:val="0"/>
        <w:autoSpaceDE/>
        <w:autoSpaceDN/>
        <w:bidi w:val="0"/>
        <w:adjustRightInd/>
        <w:snapToGrid w:val="0"/>
        <w:spacing w:before="120" w:beforeLines="50" w:after="120" w:afterLines="5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11</w:t>
      </w:r>
      <w:r>
        <w:rPr>
          <w:rFonts w:hint="eastAsia" w:ascii="仿宋" w:hAnsi="仿宋" w:eastAsia="仿宋" w:cs="仿宋"/>
          <w:color w:val="auto"/>
          <w:kern w:val="2"/>
          <w:sz w:val="24"/>
          <w:szCs w:val="24"/>
          <w:highlight w:val="none"/>
        </w:rPr>
        <w:t>.1乙方不得将合同标的转包给他人履行。</w:t>
      </w:r>
    </w:p>
    <w:p w14:paraId="29678168">
      <w:pPr>
        <w:keepNext w:val="0"/>
        <w:keepLines w:val="0"/>
        <w:pageBreakBefore w:val="0"/>
        <w:widowControl w:val="0"/>
        <w:kinsoku/>
        <w:wordWrap/>
        <w:overflowPunct/>
        <w:topLinePunct w:val="0"/>
        <w:autoSpaceDE/>
        <w:autoSpaceDN/>
        <w:bidi w:val="0"/>
        <w:adjustRightInd/>
        <w:snapToGrid w:val="0"/>
        <w:spacing w:before="120" w:beforeLines="50" w:after="120" w:afterLines="5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11</w:t>
      </w:r>
      <w:r>
        <w:rPr>
          <w:rFonts w:hint="eastAsia" w:ascii="仿宋" w:hAnsi="仿宋" w:eastAsia="仿宋" w:cs="仿宋"/>
          <w:color w:val="auto"/>
          <w:kern w:val="2"/>
          <w:sz w:val="24"/>
          <w:szCs w:val="24"/>
          <w:highlight w:val="none"/>
        </w:rPr>
        <w:t>.2乙方不得将合同标的分包给他人履行。</w:t>
      </w:r>
    </w:p>
    <w:p w14:paraId="1966BB45">
      <w:pPr>
        <w:keepNext w:val="0"/>
        <w:keepLines w:val="0"/>
        <w:pageBreakBefore w:val="0"/>
        <w:widowControl w:val="0"/>
        <w:kinsoku/>
        <w:wordWrap/>
        <w:overflowPunct/>
        <w:topLinePunct w:val="0"/>
        <w:autoSpaceDE/>
        <w:autoSpaceDN/>
        <w:bidi w:val="0"/>
        <w:adjustRightInd/>
        <w:snapToGrid w:val="0"/>
        <w:spacing w:before="120" w:beforeLines="50" w:after="120" w:afterLines="5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11</w:t>
      </w:r>
      <w:r>
        <w:rPr>
          <w:rFonts w:hint="eastAsia" w:ascii="仿宋" w:hAnsi="仿宋" w:eastAsia="仿宋" w:cs="仿宋"/>
          <w:color w:val="auto"/>
          <w:kern w:val="2"/>
          <w:sz w:val="24"/>
          <w:szCs w:val="24"/>
          <w:highlight w:val="none"/>
        </w:rPr>
        <w:t>.3乙方如有转包或未经甲方</w:t>
      </w:r>
      <w:r>
        <w:rPr>
          <w:rFonts w:hint="eastAsia" w:ascii="仿宋" w:hAnsi="仿宋" w:eastAsia="仿宋" w:cs="仿宋"/>
          <w:color w:val="auto"/>
          <w:kern w:val="2"/>
          <w:sz w:val="24"/>
          <w:szCs w:val="24"/>
          <w:highlight w:val="none"/>
          <w:lang w:val="en-US" w:eastAsia="zh-CN"/>
        </w:rPr>
        <w:t>书面</w:t>
      </w:r>
      <w:r>
        <w:rPr>
          <w:rFonts w:hint="eastAsia" w:ascii="仿宋" w:hAnsi="仿宋" w:eastAsia="仿宋" w:cs="仿宋"/>
          <w:color w:val="auto"/>
          <w:kern w:val="2"/>
          <w:sz w:val="24"/>
          <w:szCs w:val="24"/>
          <w:highlight w:val="none"/>
        </w:rPr>
        <w:t>同意的分包行为，甲方有权解除合同。</w:t>
      </w:r>
    </w:p>
    <w:p w14:paraId="33707F1B">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十二、合同款项支付</w:t>
      </w:r>
    </w:p>
    <w:p w14:paraId="1E382D52">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合同签订且收到乙方发票后10个工作日内支付合同金额的10%作为预付款；完成申报材料后，成果提交省林业局，且收到乙方发票后的10个工作日内，支付至合同金额的30%；完成申报材料后，通过国家林业和草原局评审，将成果提交国际湿地公约组织，且收到乙方发票后的10个工作日内，支付至合同金额的50%；获得“国际湿地城市”称号且收到乙方发票后的10个工作日内，支付至合同金额的100%。</w:t>
      </w:r>
    </w:p>
    <w:p w14:paraId="331FA71B">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注：在签订合同时，乙方明确表示无需预付款或者主动要求降低预付款比例的金额，甲方可不适用预付款规定。</w:t>
      </w:r>
    </w:p>
    <w:p w14:paraId="7470E996">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十三、税费</w:t>
      </w:r>
    </w:p>
    <w:p w14:paraId="60BF5B47">
      <w:pPr>
        <w:keepNext w:val="0"/>
        <w:keepLines w:val="0"/>
        <w:pageBreakBefore w:val="0"/>
        <w:widowControl w:val="0"/>
        <w:kinsoku/>
        <w:wordWrap/>
        <w:overflowPunct/>
        <w:topLinePunct w:val="0"/>
        <w:autoSpaceDE/>
        <w:autoSpaceDN/>
        <w:bidi w:val="0"/>
        <w:adjustRightInd/>
        <w:snapToGrid w:val="0"/>
        <w:spacing w:before="120" w:beforeLines="50" w:after="120" w:afterLines="5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13.1</w:t>
      </w:r>
      <w:r>
        <w:rPr>
          <w:rFonts w:hint="eastAsia" w:ascii="仿宋" w:hAnsi="仿宋" w:eastAsia="仿宋" w:cs="仿宋"/>
          <w:color w:val="auto"/>
          <w:kern w:val="2"/>
          <w:sz w:val="24"/>
          <w:szCs w:val="24"/>
          <w:highlight w:val="none"/>
        </w:rPr>
        <w:t>本合同执行中相关的一切税费均由乙方负担。</w:t>
      </w:r>
    </w:p>
    <w:p w14:paraId="29B5F6FD">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十四、项目验收</w:t>
      </w:r>
    </w:p>
    <w:p w14:paraId="232A01C6">
      <w:pPr>
        <w:keepNext w:val="0"/>
        <w:keepLines w:val="0"/>
        <w:pageBreakBefore w:val="0"/>
        <w:widowControl w:val="0"/>
        <w:kinsoku/>
        <w:wordWrap/>
        <w:overflowPunct/>
        <w:topLinePunct w:val="0"/>
        <w:autoSpaceDE/>
        <w:autoSpaceDN/>
        <w:bidi w:val="0"/>
        <w:adjustRightInd/>
        <w:snapToGrid w:val="0"/>
        <w:spacing w:before="120" w:after="120" w:line="360" w:lineRule="auto"/>
        <w:ind w:left="479" w:leftChars="228"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.1 甲方依法组织履约验收工作。</w:t>
      </w:r>
    </w:p>
    <w:p w14:paraId="3C3A9B01">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159E028A">
      <w:pPr>
        <w:keepNext w:val="0"/>
        <w:keepLines w:val="0"/>
        <w:pageBreakBefore w:val="0"/>
        <w:widowControl w:val="0"/>
        <w:kinsoku/>
        <w:wordWrap/>
        <w:overflowPunct/>
        <w:topLinePunct w:val="0"/>
        <w:autoSpaceDE/>
        <w:autoSpaceDN/>
        <w:bidi w:val="0"/>
        <w:adjustRightInd/>
        <w:snapToGrid w:val="0"/>
        <w:spacing w:before="120" w:after="120" w:line="360" w:lineRule="auto"/>
        <w:ind w:left="479" w:leftChars="228"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.3 对于实际使用人和甲方分离的项目，甲方邀请实际使用人参与验收。</w:t>
      </w:r>
    </w:p>
    <w:p w14:paraId="7CE4219B">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.4 如有必要，甲方邀请参加本项目的其他供应商或第三方专业机构及专家参与验收，相关意见将作为验收书的参考资料。</w:t>
      </w:r>
    </w:p>
    <w:p w14:paraId="56E969C8">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挂钩。履约验收的各项资料存档备查。</w:t>
      </w:r>
    </w:p>
    <w:p w14:paraId="0265D223">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.6 验收合格的项目,甲方根据采购合同的约定及时向乙方支付合同款项。验收不合格的项目，甲方依法及时处理。采购合同的履行、违约责任和解决争议的方式等适用《</w:t>
      </w:r>
      <w:r>
        <w:rPr>
          <w:rFonts w:hint="eastAsia" w:ascii="仿宋" w:hAnsi="仿宋" w:eastAsia="仿宋" w:cs="仿宋"/>
          <w:color w:val="auto"/>
          <w:kern w:val="2"/>
          <w:sz w:val="24"/>
          <w:szCs w:val="24"/>
          <w:highlight w:val="none"/>
          <w:lang w:eastAsia="zh-CN"/>
        </w:rPr>
        <w:t>中华人民共和国民法典</w:t>
      </w:r>
      <w:r>
        <w:rPr>
          <w:rFonts w:hint="eastAsia" w:ascii="仿宋" w:hAnsi="仿宋" w:eastAsia="仿宋" w:cs="仿宋"/>
          <w:color w:val="auto"/>
          <w:kern w:val="2"/>
          <w:sz w:val="24"/>
          <w:szCs w:val="24"/>
          <w:highlight w:val="none"/>
        </w:rPr>
        <w:t>》。乙方在履约过程中有政府采购法律法规规定的违法违规情形的,甲方将及时报告本级财政部门。</w:t>
      </w:r>
    </w:p>
    <w:p w14:paraId="320DE1B4">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十五、违约责任</w:t>
      </w:r>
    </w:p>
    <w:p w14:paraId="48B008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aps w:val="0"/>
          <w:smallCaps w:val="0"/>
          <w:color w:val="auto"/>
          <w:sz w:val="24"/>
          <w:szCs w:val="24"/>
          <w:highlight w:val="none"/>
        </w:rPr>
      </w:pPr>
      <w:r>
        <w:rPr>
          <w:rFonts w:hint="eastAsia" w:ascii="仿宋" w:hAnsi="仿宋" w:eastAsia="仿宋" w:cs="仿宋"/>
          <w:caps w:val="0"/>
          <w:smallCaps w:val="0"/>
          <w:color w:val="auto"/>
          <w:sz w:val="24"/>
          <w:szCs w:val="24"/>
          <w:highlight w:val="none"/>
          <w:lang w:val="en-US" w:eastAsia="zh-CN"/>
        </w:rPr>
        <w:t>15</w:t>
      </w:r>
      <w:r>
        <w:rPr>
          <w:rFonts w:hint="eastAsia" w:ascii="仿宋" w:hAnsi="仿宋" w:eastAsia="仿宋" w:cs="仿宋"/>
          <w:caps w:val="0"/>
          <w:smallCaps w:val="0"/>
          <w:color w:val="auto"/>
          <w:sz w:val="24"/>
          <w:szCs w:val="24"/>
          <w:highlight w:val="none"/>
        </w:rPr>
        <w:t>.1 甲方无正当理由拒绝接受乙方提供服务的，甲方向乙方偿付拒绝接受服务合同价款总值</w:t>
      </w:r>
      <w:r>
        <w:rPr>
          <w:rFonts w:hint="eastAsia" w:ascii="仿宋" w:hAnsi="仿宋" w:eastAsia="仿宋" w:cs="仿宋"/>
          <w:color w:val="auto"/>
          <w:sz w:val="24"/>
          <w:szCs w:val="24"/>
          <w:highlight w:val="none"/>
          <w:u w:val="single"/>
        </w:rPr>
        <w:t xml:space="preserve">1‰ </w:t>
      </w:r>
      <w:r>
        <w:rPr>
          <w:rFonts w:hint="eastAsia" w:ascii="仿宋" w:hAnsi="仿宋" w:eastAsia="仿宋" w:cs="仿宋"/>
          <w:caps w:val="0"/>
          <w:smallCaps w:val="0"/>
          <w:color w:val="auto"/>
          <w:sz w:val="24"/>
          <w:szCs w:val="24"/>
          <w:highlight w:val="none"/>
        </w:rPr>
        <w:t>的违约金。</w:t>
      </w:r>
    </w:p>
    <w:p w14:paraId="04DDC8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aps w:val="0"/>
          <w:smallCaps w:val="0"/>
          <w:color w:val="auto"/>
          <w:sz w:val="24"/>
          <w:szCs w:val="24"/>
          <w:highlight w:val="none"/>
        </w:rPr>
      </w:pPr>
      <w:r>
        <w:rPr>
          <w:rFonts w:hint="eastAsia" w:ascii="仿宋" w:hAnsi="仿宋" w:eastAsia="仿宋" w:cs="仿宋"/>
          <w:caps w:val="0"/>
          <w:smallCaps w:val="0"/>
          <w:color w:val="auto"/>
          <w:sz w:val="24"/>
          <w:szCs w:val="24"/>
          <w:highlight w:val="none"/>
        </w:rPr>
        <w:t>1</w:t>
      </w:r>
      <w:r>
        <w:rPr>
          <w:rFonts w:hint="eastAsia" w:ascii="仿宋" w:hAnsi="仿宋" w:eastAsia="仿宋" w:cs="仿宋"/>
          <w:caps w:val="0"/>
          <w:smallCaps w:val="0"/>
          <w:color w:val="auto"/>
          <w:sz w:val="24"/>
          <w:szCs w:val="24"/>
          <w:highlight w:val="none"/>
          <w:lang w:val="en-US" w:eastAsia="zh-CN"/>
        </w:rPr>
        <w:t>5</w:t>
      </w:r>
      <w:r>
        <w:rPr>
          <w:rFonts w:hint="eastAsia" w:ascii="仿宋" w:hAnsi="仿宋" w:eastAsia="仿宋" w:cs="仿宋"/>
          <w:caps w:val="0"/>
          <w:smallCaps w:val="0"/>
          <w:color w:val="auto"/>
          <w:sz w:val="24"/>
          <w:szCs w:val="24"/>
          <w:highlight w:val="none"/>
        </w:rPr>
        <w:t>.2 甲方无故逾期验收和办理合同款项支付手续的,甲方应按逾期付款总额</w:t>
      </w:r>
      <w:r>
        <w:rPr>
          <w:rFonts w:hint="eastAsia" w:ascii="仿宋" w:hAnsi="仿宋" w:eastAsia="仿宋" w:cs="仿宋"/>
          <w:caps w:val="0"/>
          <w:smallCaps w:val="0"/>
          <w:color w:val="auto"/>
          <w:sz w:val="24"/>
          <w:szCs w:val="24"/>
          <w:highlight w:val="none"/>
          <w:u w:val="single"/>
          <w:lang w:val="en-US" w:eastAsia="zh-CN"/>
        </w:rPr>
        <w:t>2‰</w:t>
      </w:r>
      <w:r>
        <w:rPr>
          <w:rFonts w:hint="eastAsia" w:ascii="仿宋" w:hAnsi="仿宋" w:eastAsia="仿宋" w:cs="仿宋"/>
          <w:caps w:val="0"/>
          <w:smallCaps w:val="0"/>
          <w:color w:val="auto"/>
          <w:sz w:val="24"/>
          <w:szCs w:val="24"/>
          <w:highlight w:val="none"/>
        </w:rPr>
        <w:t xml:space="preserve">    每日向乙方支付违约金。</w:t>
      </w:r>
    </w:p>
    <w:p w14:paraId="75AA35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aps w:val="0"/>
          <w:smallCaps w:val="0"/>
          <w:color w:val="auto"/>
          <w:sz w:val="24"/>
          <w:szCs w:val="24"/>
          <w:highlight w:val="none"/>
        </w:rPr>
      </w:pPr>
      <w:r>
        <w:rPr>
          <w:rFonts w:hint="eastAsia" w:ascii="仿宋" w:hAnsi="仿宋" w:eastAsia="仿宋" w:cs="仿宋"/>
          <w:caps w:val="0"/>
          <w:smallCaps w:val="0"/>
          <w:color w:val="auto"/>
          <w:sz w:val="24"/>
          <w:szCs w:val="24"/>
          <w:highlight w:val="none"/>
        </w:rPr>
        <w:t>1</w:t>
      </w:r>
      <w:r>
        <w:rPr>
          <w:rFonts w:hint="eastAsia" w:ascii="仿宋" w:hAnsi="仿宋" w:eastAsia="仿宋" w:cs="仿宋"/>
          <w:caps w:val="0"/>
          <w:smallCaps w:val="0"/>
          <w:color w:val="auto"/>
          <w:sz w:val="24"/>
          <w:szCs w:val="24"/>
          <w:highlight w:val="none"/>
          <w:lang w:val="en-US" w:eastAsia="zh-CN"/>
        </w:rPr>
        <w:t>5</w:t>
      </w:r>
      <w:r>
        <w:rPr>
          <w:rFonts w:hint="eastAsia" w:ascii="仿宋" w:hAnsi="仿宋" w:eastAsia="仿宋" w:cs="仿宋"/>
          <w:caps w:val="0"/>
          <w:smallCaps w:val="0"/>
          <w:color w:val="auto"/>
          <w:sz w:val="24"/>
          <w:szCs w:val="24"/>
          <w:highlight w:val="none"/>
        </w:rPr>
        <w:t xml:space="preserve">.3 </w:t>
      </w:r>
      <w:r>
        <w:rPr>
          <w:rFonts w:hint="eastAsia" w:ascii="仿宋" w:hAnsi="仿宋" w:eastAsia="仿宋" w:cs="仿宋"/>
          <w:caps w:val="0"/>
          <w:smallCaps w:val="0"/>
          <w:color w:val="auto"/>
          <w:sz w:val="24"/>
          <w:szCs w:val="24"/>
          <w:highlight w:val="none"/>
          <w:lang w:val="en-US" w:eastAsia="zh-CN"/>
        </w:rPr>
        <w:t>乙方</w:t>
      </w:r>
      <w:r>
        <w:rPr>
          <w:rFonts w:hint="eastAsia" w:ascii="仿宋" w:hAnsi="仿宋" w:eastAsia="仿宋" w:cs="仿宋"/>
          <w:caps w:val="0"/>
          <w:smallCaps w:val="0"/>
          <w:color w:val="auto"/>
          <w:sz w:val="24"/>
          <w:szCs w:val="24"/>
          <w:highlight w:val="none"/>
        </w:rPr>
        <w:t>提交的审批材料每延迟一天，扣除合同价款</w:t>
      </w:r>
      <w:r>
        <w:rPr>
          <w:rFonts w:hint="eastAsia" w:ascii="仿宋" w:hAnsi="仿宋" w:eastAsia="仿宋" w:cs="仿宋"/>
          <w:caps w:val="0"/>
          <w:smallCaps w:val="0"/>
          <w:color w:val="auto"/>
          <w:sz w:val="24"/>
          <w:szCs w:val="24"/>
          <w:highlight w:val="none"/>
          <w:u w:val="single"/>
        </w:rPr>
        <w:t>1%</w:t>
      </w:r>
      <w:r>
        <w:rPr>
          <w:rFonts w:hint="eastAsia" w:ascii="仿宋" w:hAnsi="仿宋" w:eastAsia="仿宋" w:cs="仿宋"/>
          <w:caps w:val="0"/>
          <w:smallCaps w:val="0"/>
          <w:color w:val="auto"/>
          <w:sz w:val="24"/>
          <w:szCs w:val="24"/>
          <w:highlight w:val="none"/>
        </w:rPr>
        <w:t>的违约金，如延迟超过十天，则</w:t>
      </w:r>
      <w:r>
        <w:rPr>
          <w:rFonts w:hint="eastAsia" w:ascii="仿宋" w:hAnsi="仿宋" w:eastAsia="仿宋" w:cs="仿宋"/>
          <w:caps w:val="0"/>
          <w:smallCaps w:val="0"/>
          <w:color w:val="auto"/>
          <w:sz w:val="24"/>
          <w:szCs w:val="24"/>
          <w:highlight w:val="none"/>
          <w:lang w:val="en-US" w:eastAsia="zh-CN"/>
        </w:rPr>
        <w:t>甲方</w:t>
      </w:r>
      <w:r>
        <w:rPr>
          <w:rFonts w:hint="eastAsia" w:ascii="仿宋" w:hAnsi="仿宋" w:eastAsia="仿宋" w:cs="仿宋"/>
          <w:caps w:val="0"/>
          <w:smallCaps w:val="0"/>
          <w:color w:val="auto"/>
          <w:sz w:val="24"/>
          <w:szCs w:val="24"/>
          <w:highlight w:val="none"/>
        </w:rPr>
        <w:t>有权终止合同，不支付任何费用。如因</w:t>
      </w:r>
      <w:r>
        <w:rPr>
          <w:rFonts w:hint="eastAsia" w:ascii="仿宋" w:hAnsi="仿宋" w:eastAsia="仿宋" w:cs="仿宋"/>
          <w:caps w:val="0"/>
          <w:smallCaps w:val="0"/>
          <w:color w:val="auto"/>
          <w:sz w:val="24"/>
          <w:szCs w:val="24"/>
          <w:highlight w:val="none"/>
          <w:lang w:val="en-US" w:eastAsia="zh-CN"/>
        </w:rPr>
        <w:t>乙方</w:t>
      </w:r>
      <w:r>
        <w:rPr>
          <w:rFonts w:hint="eastAsia" w:ascii="仿宋" w:hAnsi="仿宋" w:eastAsia="仿宋" w:cs="仿宋"/>
          <w:caps w:val="0"/>
          <w:smallCaps w:val="0"/>
          <w:color w:val="auto"/>
          <w:sz w:val="24"/>
          <w:szCs w:val="24"/>
          <w:highlight w:val="none"/>
        </w:rPr>
        <w:t>编制的审批材料质量问题造成审批延误，每延迟一天，扣除合同价款</w:t>
      </w:r>
      <w:r>
        <w:rPr>
          <w:rFonts w:hint="eastAsia" w:ascii="仿宋" w:hAnsi="仿宋" w:eastAsia="仿宋" w:cs="仿宋"/>
          <w:caps w:val="0"/>
          <w:smallCaps w:val="0"/>
          <w:color w:val="auto"/>
          <w:sz w:val="24"/>
          <w:szCs w:val="24"/>
          <w:highlight w:val="none"/>
          <w:u w:val="single"/>
        </w:rPr>
        <w:t>1%</w:t>
      </w:r>
      <w:r>
        <w:rPr>
          <w:rFonts w:hint="eastAsia" w:ascii="仿宋" w:hAnsi="仿宋" w:eastAsia="仿宋" w:cs="仿宋"/>
          <w:caps w:val="0"/>
          <w:smallCaps w:val="0"/>
          <w:color w:val="auto"/>
          <w:sz w:val="24"/>
          <w:szCs w:val="24"/>
          <w:highlight w:val="none"/>
        </w:rPr>
        <w:t>的违约金</w:t>
      </w:r>
      <w:r>
        <w:rPr>
          <w:rFonts w:hint="eastAsia" w:ascii="仿宋" w:hAnsi="仿宋" w:eastAsia="仿宋" w:cs="仿宋"/>
          <w:caps w:val="0"/>
          <w:smallCaps w:val="0"/>
          <w:color w:val="auto"/>
          <w:sz w:val="24"/>
          <w:szCs w:val="24"/>
          <w:highlight w:val="none"/>
          <w:lang w:eastAsia="zh-CN"/>
        </w:rPr>
        <w:t>，</w:t>
      </w:r>
      <w:r>
        <w:rPr>
          <w:rFonts w:hint="eastAsia" w:ascii="仿宋" w:hAnsi="仿宋" w:eastAsia="仿宋" w:cs="仿宋"/>
          <w:caps w:val="0"/>
          <w:smallCaps w:val="0"/>
          <w:color w:val="auto"/>
          <w:sz w:val="24"/>
          <w:szCs w:val="24"/>
          <w:highlight w:val="none"/>
        </w:rPr>
        <w:t xml:space="preserve">如造成甲方损失超过违约金的，超出部分由乙方继续承担赔偿责任。 </w:t>
      </w:r>
    </w:p>
    <w:p w14:paraId="31D8BE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aps w:val="0"/>
          <w:smallCaps w:val="0"/>
          <w:color w:val="auto"/>
          <w:sz w:val="24"/>
          <w:szCs w:val="24"/>
          <w:highlight w:val="none"/>
        </w:rPr>
        <w:t>1</w:t>
      </w:r>
      <w:r>
        <w:rPr>
          <w:rFonts w:hint="eastAsia" w:ascii="仿宋" w:hAnsi="仿宋" w:eastAsia="仿宋" w:cs="仿宋"/>
          <w:caps w:val="0"/>
          <w:smallCaps w:val="0"/>
          <w:color w:val="auto"/>
          <w:sz w:val="24"/>
          <w:szCs w:val="24"/>
          <w:highlight w:val="none"/>
          <w:lang w:val="en-US" w:eastAsia="zh-CN"/>
        </w:rPr>
        <w:t>5</w:t>
      </w:r>
      <w:r>
        <w:rPr>
          <w:rFonts w:hint="eastAsia" w:ascii="仿宋" w:hAnsi="仿宋" w:eastAsia="仿宋" w:cs="仿宋"/>
          <w:caps w:val="0"/>
          <w:smallCaps w:val="0"/>
          <w:color w:val="auto"/>
          <w:sz w:val="24"/>
          <w:szCs w:val="24"/>
          <w:highlight w:val="none"/>
        </w:rPr>
        <w:t>.4 乙方所提供服务的标准不符合合同规定及招标文件规定标准的，甲方有权拒绝接受服务，并可单方面解除合同。</w:t>
      </w:r>
      <w:r>
        <w:rPr>
          <w:rFonts w:hint="eastAsia" w:ascii="仿宋" w:hAnsi="仿宋" w:eastAsia="仿宋" w:cs="仿宋"/>
          <w:color w:val="auto"/>
          <w:sz w:val="24"/>
          <w:szCs w:val="24"/>
          <w:highlight w:val="none"/>
        </w:rPr>
        <w:t>乙方除应返还甲方已付款项外，还应向甲方支付合同价款总额30%的违约金，不足弥补甲方损失的仍需赔偿。</w:t>
      </w:r>
    </w:p>
    <w:p w14:paraId="40C8C5A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15.5</w:t>
      </w:r>
      <w:r>
        <w:rPr>
          <w:rFonts w:hint="eastAsia" w:ascii="仿宋" w:hAnsi="仿宋" w:eastAsia="仿宋" w:cs="仿宋"/>
          <w:color w:val="auto"/>
          <w:sz w:val="24"/>
          <w:szCs w:val="24"/>
          <w:highlight w:val="none"/>
        </w:rPr>
        <w:t>本项目不得转</w:t>
      </w:r>
      <w:r>
        <w:rPr>
          <w:rFonts w:hint="eastAsia" w:ascii="仿宋" w:hAnsi="仿宋" w:eastAsia="仿宋" w:cs="仿宋"/>
          <w:color w:val="auto"/>
          <w:sz w:val="24"/>
          <w:szCs w:val="24"/>
          <w:highlight w:val="none"/>
          <w:lang w:val="en-US" w:eastAsia="zh-CN"/>
        </w:rPr>
        <w:t>包或未经甲方书面同意</w:t>
      </w:r>
      <w:r>
        <w:rPr>
          <w:rFonts w:hint="eastAsia" w:ascii="仿宋" w:hAnsi="仿宋" w:eastAsia="仿宋" w:cs="仿宋"/>
          <w:color w:val="auto"/>
          <w:sz w:val="24"/>
          <w:szCs w:val="24"/>
          <w:highlight w:val="none"/>
        </w:rPr>
        <w:t>分包，如有发生，</w:t>
      </w:r>
      <w:r>
        <w:rPr>
          <w:rFonts w:hint="eastAsia" w:ascii="仿宋" w:hAnsi="仿宋" w:eastAsia="仿宋" w:cs="仿宋"/>
          <w:bCs w:val="0"/>
          <w:color w:val="auto"/>
          <w:sz w:val="24"/>
          <w:szCs w:val="24"/>
          <w:highlight w:val="none"/>
        </w:rPr>
        <w:t>甲方有权解除合同，乙方除应返还甲方已付项外，还应向甲方支付合同价款总额30%的违约金，不足弥补甲方损失的仍需赔偿</w:t>
      </w:r>
      <w:r>
        <w:rPr>
          <w:rFonts w:hint="eastAsia" w:ascii="仿宋" w:hAnsi="仿宋" w:eastAsia="仿宋" w:cs="仿宋"/>
          <w:color w:val="auto"/>
          <w:sz w:val="24"/>
          <w:szCs w:val="24"/>
          <w:highlight w:val="none"/>
        </w:rPr>
        <w:t>。</w:t>
      </w:r>
    </w:p>
    <w:p w14:paraId="558410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aps w:val="0"/>
          <w:smallCaps w:val="0"/>
          <w:color w:val="auto"/>
          <w:sz w:val="24"/>
          <w:szCs w:val="24"/>
          <w:highlight w:val="none"/>
        </w:rPr>
      </w:pPr>
      <w:r>
        <w:rPr>
          <w:rFonts w:hint="eastAsia" w:ascii="仿宋" w:hAnsi="仿宋" w:eastAsia="仿宋" w:cs="仿宋"/>
          <w:color w:val="auto"/>
          <w:kern w:val="0"/>
          <w:sz w:val="24"/>
          <w:szCs w:val="24"/>
          <w:highlight w:val="none"/>
          <w:lang w:val="en-US" w:eastAsia="zh-CN" w:bidi="ar-SA"/>
        </w:rPr>
        <w:t>15.6</w:t>
      </w:r>
      <w:r>
        <w:rPr>
          <w:rFonts w:hint="eastAsia" w:ascii="仿宋" w:hAnsi="仿宋" w:eastAsia="仿宋" w:cs="仿宋"/>
          <w:bCs w:val="0"/>
          <w:color w:val="auto"/>
          <w:sz w:val="24"/>
          <w:szCs w:val="24"/>
          <w:highlight w:val="none"/>
        </w:rPr>
        <w:t>违约方应承担守约方主张权益产生的包括但不限于交通费、误工费、律师费、鉴定费、保全费、保全保险费、诉讼费</w:t>
      </w:r>
      <w:r>
        <w:rPr>
          <w:rFonts w:hint="eastAsia" w:ascii="仿宋" w:hAnsi="仿宋" w:eastAsia="仿宋" w:cs="仿宋"/>
          <w:bCs w:val="0"/>
          <w:color w:val="auto"/>
          <w:sz w:val="24"/>
          <w:szCs w:val="24"/>
          <w:highlight w:val="none"/>
          <w:lang w:eastAsia="zh-CN"/>
        </w:rPr>
        <w:t>、</w:t>
      </w:r>
      <w:r>
        <w:rPr>
          <w:rFonts w:hint="eastAsia" w:ascii="仿宋" w:hAnsi="仿宋" w:eastAsia="仿宋" w:cs="仿宋"/>
          <w:bCs w:val="0"/>
          <w:color w:val="auto"/>
          <w:sz w:val="24"/>
          <w:szCs w:val="24"/>
          <w:highlight w:val="none"/>
          <w:lang w:val="en-US" w:eastAsia="zh-CN"/>
        </w:rPr>
        <w:t>差旅费</w:t>
      </w:r>
      <w:r>
        <w:rPr>
          <w:rFonts w:hint="eastAsia" w:ascii="仿宋" w:hAnsi="仿宋" w:eastAsia="仿宋" w:cs="仿宋"/>
          <w:bCs w:val="0"/>
          <w:color w:val="auto"/>
          <w:sz w:val="24"/>
          <w:szCs w:val="24"/>
          <w:highlight w:val="none"/>
        </w:rPr>
        <w:t>等相关费用。</w:t>
      </w:r>
    </w:p>
    <w:p w14:paraId="187AE2CA">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十六、乙方合法权益补偿机制</w:t>
      </w:r>
    </w:p>
    <w:p w14:paraId="28F0C0A0">
      <w:pPr>
        <w:keepNext w:val="0"/>
        <w:keepLines w:val="0"/>
        <w:pageBreakBefore w:val="0"/>
        <w:widowControl w:val="0"/>
        <w:kinsoku/>
        <w:wordWrap/>
        <w:overflowPunct/>
        <w:topLinePunct w:val="0"/>
        <w:autoSpaceDE/>
        <w:autoSpaceDN/>
        <w:bidi w:val="0"/>
        <w:adjustRightInd/>
        <w:spacing w:before="72" w:beforeLines="30" w:after="72" w:afterLines="3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乙方合法权益补偿救济机制。在履约过程中因政策变化、规划调整而无法履行合同约定，造成企业合法权益受损的，甲方依据实际情况对乙方进行补偿救济。</w:t>
      </w:r>
    </w:p>
    <w:p w14:paraId="4E470D4F">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十七、不可抗力事件处理</w:t>
      </w:r>
    </w:p>
    <w:p w14:paraId="205DB441">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17</w:t>
      </w:r>
      <w:r>
        <w:rPr>
          <w:rFonts w:hint="eastAsia" w:ascii="仿宋" w:hAnsi="仿宋" w:eastAsia="仿宋" w:cs="仿宋"/>
          <w:color w:val="auto"/>
          <w:kern w:val="2"/>
          <w:sz w:val="24"/>
          <w:szCs w:val="24"/>
          <w:highlight w:val="none"/>
        </w:rPr>
        <w:t>.1 在合同有效期内，任何一方因不可抗力事件导致不能履行合同，则合同履行期可延长，其延长期与不可抗力影响期相同。</w:t>
      </w:r>
    </w:p>
    <w:p w14:paraId="15979B5C">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7</w:t>
      </w:r>
      <w:r>
        <w:rPr>
          <w:rFonts w:hint="eastAsia" w:ascii="仿宋" w:hAnsi="仿宋" w:eastAsia="仿宋" w:cs="仿宋"/>
          <w:color w:val="auto"/>
          <w:kern w:val="2"/>
          <w:sz w:val="24"/>
          <w:szCs w:val="24"/>
          <w:highlight w:val="none"/>
        </w:rPr>
        <w:t>.2 不可抗力事件发生后，应立即通知对方，并寄送有关权威机构出具的证明。</w:t>
      </w:r>
    </w:p>
    <w:p w14:paraId="4516BCB1">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7</w:t>
      </w:r>
      <w:r>
        <w:rPr>
          <w:rFonts w:hint="eastAsia" w:ascii="仿宋" w:hAnsi="仿宋" w:eastAsia="仿宋" w:cs="仿宋"/>
          <w:color w:val="auto"/>
          <w:kern w:val="2"/>
          <w:sz w:val="24"/>
          <w:szCs w:val="24"/>
          <w:highlight w:val="none"/>
        </w:rPr>
        <w:t>.3 不可抗力事件延续120天以上，双方应通过友好协商，确定是否继续履行合同。</w:t>
      </w:r>
    </w:p>
    <w:p w14:paraId="2F8F1F94">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十八、解决争议的方法</w:t>
      </w:r>
    </w:p>
    <w:p w14:paraId="1271644F">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双方在签订、履行合同中所发生的一切争议，应通过友好协商解决。如协商不成，由甲方住所地人民法院管辖。</w:t>
      </w:r>
    </w:p>
    <w:p w14:paraId="67411E32">
      <w:pPr>
        <w:keepNext w:val="0"/>
        <w:keepLines w:val="0"/>
        <w:pageBreakBefore w:val="0"/>
        <w:widowControl w:val="0"/>
        <w:kinsoku/>
        <w:wordWrap/>
        <w:overflowPunct/>
        <w:topLinePunct w:val="0"/>
        <w:autoSpaceDE/>
        <w:autoSpaceDN/>
        <w:bidi w:val="0"/>
        <w:adjustRightInd/>
        <w:snapToGrid w:val="0"/>
        <w:spacing w:before="120" w:after="120" w:line="360" w:lineRule="auto"/>
        <w:ind w:firstLine="482" w:firstLineChars="200"/>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十九、合同生效及其它</w:t>
      </w:r>
    </w:p>
    <w:p w14:paraId="1B75EF56">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9</w:t>
      </w:r>
      <w:r>
        <w:rPr>
          <w:rFonts w:hint="eastAsia" w:ascii="仿宋" w:hAnsi="仿宋" w:eastAsia="仿宋" w:cs="仿宋"/>
          <w:color w:val="auto"/>
          <w:kern w:val="2"/>
          <w:sz w:val="24"/>
          <w:szCs w:val="24"/>
          <w:highlight w:val="none"/>
        </w:rPr>
        <w:t>.1 合同经双方法定代表人或授权委托代表人签字并加盖单位公章后生效。</w:t>
      </w:r>
    </w:p>
    <w:p w14:paraId="209F107C">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9</w:t>
      </w:r>
      <w:r>
        <w:rPr>
          <w:rFonts w:hint="eastAsia" w:ascii="仿宋" w:hAnsi="仿宋" w:eastAsia="仿宋" w:cs="仿宋"/>
          <w:color w:val="auto"/>
          <w:kern w:val="2"/>
          <w:sz w:val="24"/>
          <w:szCs w:val="24"/>
          <w:highlight w:val="none"/>
        </w:rPr>
        <w:t>.2本合同未尽事宜，遵照《</w:t>
      </w:r>
      <w:r>
        <w:rPr>
          <w:rFonts w:hint="eastAsia" w:ascii="仿宋" w:hAnsi="仿宋" w:eastAsia="仿宋" w:cs="仿宋"/>
          <w:color w:val="auto"/>
          <w:kern w:val="2"/>
          <w:sz w:val="24"/>
          <w:szCs w:val="24"/>
          <w:highlight w:val="none"/>
          <w:lang w:eastAsia="zh-CN"/>
        </w:rPr>
        <w:t>中华人民共和国民法典》《中华人民共和国政府采购法</w:t>
      </w:r>
      <w:r>
        <w:rPr>
          <w:rFonts w:hint="eastAsia" w:ascii="仿宋" w:hAnsi="仿宋" w:eastAsia="仿宋" w:cs="仿宋"/>
          <w:color w:val="auto"/>
          <w:kern w:val="2"/>
          <w:sz w:val="24"/>
          <w:szCs w:val="24"/>
          <w:highlight w:val="none"/>
        </w:rPr>
        <w:t>》有关条文执行。</w:t>
      </w:r>
    </w:p>
    <w:p w14:paraId="19C0D980">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19.3本项目未尽事宜，经双方协商一致，可签订补充协议，补充协议具有与本合同同等效力。</w:t>
      </w:r>
    </w:p>
    <w:p w14:paraId="687213F9">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9</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 xml:space="preserve"> </w:t>
      </w:r>
      <w:r>
        <w:rPr>
          <w:rFonts w:hint="eastAsia" w:ascii="仿宋" w:hAnsi="仿宋" w:eastAsia="仿宋" w:cs="仿宋"/>
          <w:bCs/>
          <w:color w:val="auto"/>
          <w:sz w:val="24"/>
          <w:szCs w:val="21"/>
          <w:highlight w:val="none"/>
        </w:rPr>
        <w:t>本合同正本一式陆份，具有同等法律效力，甲方、乙方及宿迁市自然资源和规划局采购中心各执贰份</w:t>
      </w:r>
      <w:r>
        <w:rPr>
          <w:rFonts w:hint="eastAsia" w:ascii="仿宋" w:hAnsi="仿宋" w:eastAsia="仿宋" w:cs="仿宋"/>
          <w:color w:val="auto"/>
          <w:kern w:val="2"/>
          <w:sz w:val="24"/>
          <w:szCs w:val="24"/>
          <w:highlight w:val="none"/>
        </w:rPr>
        <w:t>。</w:t>
      </w:r>
    </w:p>
    <w:p w14:paraId="6CC26553">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19.5招标投标文件（包括但不限于招标文件、投标文件、响应文件、磋商文件、中标通知书、承诺书等）是合同组成部分。</w:t>
      </w:r>
    </w:p>
    <w:p w14:paraId="1779F7B7">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19.6</w:t>
      </w:r>
      <w:r>
        <w:rPr>
          <w:rFonts w:hint="eastAsia" w:ascii="仿宋" w:hAnsi="仿宋" w:eastAsia="仿宋" w:cs="仿宋"/>
          <w:color w:val="auto"/>
          <w:kern w:val="2"/>
          <w:sz w:val="24"/>
          <w:szCs w:val="24"/>
          <w:highlight w:val="none"/>
        </w:rPr>
        <w:t>甲乙双方签订本合同时登记的地址、联系方式作为合同履行通知及法律文书（含诉讼文书、传票等）送达地址、联系方式，如有变更，甲乙双方须提前以书面形式通知对方。否则，如出现无法通知、文书被退回、拒收等情形视为对方已收，由此产生的法律后果均由该方承担。</w:t>
      </w:r>
    </w:p>
    <w:p w14:paraId="7A049986">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p>
    <w:p w14:paraId="1D204F5C">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甲方：                        乙方： </w:t>
      </w:r>
    </w:p>
    <w:p w14:paraId="42D3E822">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地址：                        地址： </w:t>
      </w:r>
    </w:p>
    <w:p w14:paraId="66903AA2">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法定代表人或授权代表：        法定代表人或授权代表：</w:t>
      </w:r>
    </w:p>
    <w:p w14:paraId="4E8ADFED">
      <w:pPr>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hint="eastAsia" w:ascii="仿宋" w:hAnsi="仿宋" w:eastAsia="仿宋" w:cs="仿宋"/>
          <w:color w:val="auto"/>
          <w:kern w:val="2"/>
          <w:szCs w:val="21"/>
          <w:highlight w:val="none"/>
        </w:rPr>
      </w:pPr>
      <w:r>
        <w:rPr>
          <w:rFonts w:hint="eastAsia" w:ascii="仿宋" w:hAnsi="仿宋" w:eastAsia="仿宋" w:cs="仿宋"/>
          <w:color w:val="auto"/>
          <w:kern w:val="2"/>
          <w:sz w:val="24"/>
          <w:szCs w:val="24"/>
          <w:highlight w:val="none"/>
        </w:rPr>
        <w:t xml:space="preserve">联系电话：                    联系电话：          </w:t>
      </w:r>
    </w:p>
    <w:p w14:paraId="61D7826F">
      <w:pPr>
        <w:keepNext w:val="0"/>
        <w:keepLines w:val="0"/>
        <w:pageBreakBefore w:val="0"/>
        <w:widowControl w:val="0"/>
        <w:kinsoku/>
        <w:wordWrap/>
        <w:overflowPunct/>
        <w:topLinePunct w:val="0"/>
        <w:autoSpaceDE/>
        <w:autoSpaceDN/>
        <w:bidi w:val="0"/>
        <w:adjustRightInd/>
        <w:spacing w:line="360" w:lineRule="auto"/>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Cs w:val="21"/>
          <w:highlight w:val="none"/>
        </w:rPr>
        <w:t xml:space="preserve">                                       </w:t>
      </w:r>
      <w:r>
        <w:rPr>
          <w:rFonts w:hint="eastAsia" w:ascii="仿宋" w:hAnsi="仿宋" w:eastAsia="仿宋" w:cs="仿宋"/>
          <w:color w:val="auto"/>
          <w:kern w:val="2"/>
          <w:sz w:val="24"/>
          <w:szCs w:val="24"/>
          <w:highlight w:val="none"/>
        </w:rPr>
        <w:t xml:space="preserve">   签订日期：      年    月   日</w:t>
      </w:r>
    </w:p>
    <w:p w14:paraId="5CB9241A">
      <w:pPr>
        <w:spacing w:line="500" w:lineRule="exact"/>
        <w:ind w:firstLine="480"/>
        <w:jc w:val="left"/>
        <w:rPr>
          <w:rFonts w:hint="eastAsia" w:ascii="仿宋" w:hAnsi="仿宋" w:eastAsia="仿宋" w:cs="仿宋"/>
          <w:color w:val="auto"/>
          <w:sz w:val="24"/>
          <w:szCs w:val="24"/>
          <w:highlight w:val="none"/>
        </w:rPr>
      </w:pPr>
    </w:p>
    <w:p w14:paraId="0F6AAA24">
      <w:pPr>
        <w:rPr>
          <w:rFonts w:hint="eastAsia" w:ascii="仿宋" w:hAnsi="仿宋" w:eastAsia="仿宋" w:cs="仿宋"/>
          <w:color w:val="auto"/>
          <w:szCs w:val="22"/>
          <w:highlight w:val="none"/>
        </w:rPr>
      </w:pPr>
    </w:p>
    <w:p w14:paraId="19D6A18B">
      <w:pPr>
        <w:spacing w:line="460" w:lineRule="exact"/>
        <w:rPr>
          <w:rFonts w:hint="eastAsia" w:ascii="仿宋" w:hAnsi="仿宋" w:eastAsia="仿宋" w:cs="仿宋"/>
          <w:color w:val="auto"/>
          <w:sz w:val="24"/>
          <w:szCs w:val="24"/>
          <w:highlight w:val="none"/>
        </w:rPr>
      </w:pPr>
    </w:p>
    <w:p w14:paraId="1EAA10BD">
      <w:pPr>
        <w:rPr>
          <w:rFonts w:hint="eastAsia" w:ascii="仿宋" w:hAnsi="仿宋" w:eastAsia="仿宋" w:cs="仿宋"/>
          <w:color w:val="auto"/>
          <w:szCs w:val="22"/>
          <w:highlight w:val="none"/>
        </w:rPr>
      </w:pPr>
    </w:p>
    <w:p w14:paraId="04105DE9">
      <w:pPr>
        <w:spacing w:line="460" w:lineRule="exact"/>
        <w:ind w:firstLine="480"/>
        <w:rPr>
          <w:rFonts w:hint="eastAsia" w:ascii="仿宋" w:hAnsi="仿宋" w:eastAsia="仿宋" w:cs="仿宋"/>
          <w:color w:val="auto"/>
          <w:sz w:val="24"/>
          <w:highlight w:val="none"/>
        </w:rPr>
      </w:pPr>
      <w:r>
        <w:rPr>
          <w:rFonts w:hint="eastAsia" w:ascii="仿宋" w:hAnsi="仿宋" w:eastAsia="仿宋" w:cs="仿宋"/>
          <w:bCs/>
          <w:color w:val="auto"/>
          <w:sz w:val="44"/>
          <w:highlight w:val="none"/>
        </w:rPr>
        <w:br w:type="page" w:clear="all"/>
      </w:r>
    </w:p>
    <w:p w14:paraId="1FB0757B">
      <w:pPr>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rPr>
      </w:pPr>
      <w:bookmarkStart w:id="156" w:name="_Toc27936"/>
      <w:bookmarkStart w:id="157" w:name="_Toc1783"/>
      <w:bookmarkStart w:id="158" w:name="_Toc5354"/>
      <w:r>
        <w:rPr>
          <w:rFonts w:hint="eastAsia" w:ascii="仿宋" w:hAnsi="仿宋" w:eastAsia="仿宋" w:cs="仿宋"/>
          <w:b/>
          <w:bCs/>
          <w:color w:val="auto"/>
          <w:sz w:val="44"/>
          <w:szCs w:val="44"/>
          <w:highlight w:val="none"/>
        </w:rPr>
        <w:t>第六章  投标</w:t>
      </w:r>
      <w:bookmarkEnd w:id="147"/>
      <w:bookmarkEnd w:id="148"/>
      <w:bookmarkEnd w:id="149"/>
      <w:r>
        <w:rPr>
          <w:rFonts w:hint="eastAsia" w:ascii="仿宋" w:hAnsi="仿宋" w:eastAsia="仿宋" w:cs="仿宋"/>
          <w:b/>
          <w:bCs/>
          <w:color w:val="auto"/>
          <w:sz w:val="44"/>
          <w:szCs w:val="44"/>
          <w:highlight w:val="none"/>
        </w:rPr>
        <w:t>文件格式</w:t>
      </w:r>
      <w:bookmarkEnd w:id="156"/>
      <w:bookmarkEnd w:id="157"/>
      <w:bookmarkEnd w:id="158"/>
    </w:p>
    <w:p w14:paraId="39EAC8FE">
      <w:pPr>
        <w:jc w:val="center"/>
        <w:rPr>
          <w:rFonts w:hint="eastAsia" w:ascii="仿宋" w:hAnsi="仿宋" w:eastAsia="仿宋" w:cs="仿宋"/>
          <w:b/>
          <w:color w:val="auto"/>
          <w:sz w:val="72"/>
          <w:highlight w:val="none"/>
        </w:rPr>
      </w:pPr>
      <w:bookmarkStart w:id="159" w:name="_Hlt26955039"/>
      <w:bookmarkEnd w:id="159"/>
      <w:bookmarkStart w:id="160" w:name="_Hlt26671244"/>
      <w:bookmarkEnd w:id="160"/>
      <w:bookmarkStart w:id="161" w:name="_Toc120614282"/>
      <w:bookmarkStart w:id="162" w:name="_Toc49090576"/>
      <w:bookmarkStart w:id="163" w:name="_Toc26554094"/>
    </w:p>
    <w:p w14:paraId="01FCBAC3">
      <w:pPr>
        <w:jc w:val="center"/>
        <w:rPr>
          <w:rFonts w:hint="eastAsia" w:ascii="仿宋" w:hAnsi="仿宋" w:eastAsia="仿宋" w:cs="仿宋"/>
          <w:b/>
          <w:color w:val="auto"/>
          <w:sz w:val="72"/>
          <w:highlight w:val="none"/>
        </w:rPr>
      </w:pPr>
    </w:p>
    <w:p w14:paraId="3D5193F4">
      <w:pPr>
        <w:jc w:val="center"/>
        <w:rPr>
          <w:rFonts w:hint="eastAsia" w:ascii="仿宋" w:hAnsi="仿宋" w:eastAsia="仿宋" w:cs="仿宋"/>
          <w:b/>
          <w:color w:val="auto"/>
          <w:sz w:val="72"/>
          <w:highlight w:val="none"/>
        </w:rPr>
      </w:pPr>
      <w:r>
        <w:rPr>
          <w:rFonts w:hint="eastAsia" w:ascii="仿宋" w:hAnsi="仿宋" w:eastAsia="仿宋" w:cs="仿宋"/>
          <w:b/>
          <w:color w:val="auto"/>
          <w:sz w:val="72"/>
          <w:highlight w:val="none"/>
        </w:rPr>
        <w:t>投  标  文  件</w:t>
      </w:r>
    </w:p>
    <w:p w14:paraId="5DD19558">
      <w:pPr>
        <w:jc w:val="center"/>
        <w:rPr>
          <w:rFonts w:hint="eastAsia" w:ascii="仿宋" w:hAnsi="仿宋" w:eastAsia="仿宋" w:cs="仿宋"/>
          <w:b/>
          <w:color w:val="auto"/>
          <w:sz w:val="72"/>
          <w:highlight w:val="none"/>
        </w:rPr>
      </w:pPr>
    </w:p>
    <w:p w14:paraId="2D95A688">
      <w:pPr>
        <w:jc w:val="center"/>
        <w:rPr>
          <w:rFonts w:hint="eastAsia" w:ascii="仿宋" w:hAnsi="仿宋" w:eastAsia="仿宋" w:cs="仿宋"/>
          <w:b/>
          <w:color w:val="auto"/>
          <w:sz w:val="72"/>
          <w:highlight w:val="none"/>
        </w:rPr>
      </w:pPr>
    </w:p>
    <w:p w14:paraId="516E26F0">
      <w:pPr>
        <w:jc w:val="center"/>
        <w:rPr>
          <w:rFonts w:hint="eastAsia" w:ascii="仿宋" w:hAnsi="仿宋" w:eastAsia="仿宋" w:cs="仿宋"/>
          <w:b/>
          <w:color w:val="auto"/>
          <w:sz w:val="36"/>
          <w:highlight w:val="none"/>
        </w:rPr>
      </w:pPr>
    </w:p>
    <w:p w14:paraId="7D48AF84">
      <w:pPr>
        <w:jc w:val="center"/>
        <w:rPr>
          <w:rFonts w:hint="eastAsia" w:ascii="仿宋" w:hAnsi="仿宋" w:eastAsia="仿宋" w:cs="仿宋"/>
          <w:b/>
          <w:color w:val="auto"/>
          <w:sz w:val="36"/>
          <w:highlight w:val="none"/>
        </w:rPr>
      </w:pPr>
    </w:p>
    <w:p w14:paraId="3D2EF2D6">
      <w:pPr>
        <w:jc w:val="center"/>
        <w:rPr>
          <w:rFonts w:hint="eastAsia" w:ascii="仿宋" w:hAnsi="仿宋" w:eastAsia="仿宋" w:cs="仿宋"/>
          <w:b/>
          <w:color w:val="auto"/>
          <w:sz w:val="36"/>
          <w:highlight w:val="none"/>
        </w:rPr>
      </w:pPr>
    </w:p>
    <w:p w14:paraId="3773A326">
      <w:pPr>
        <w:ind w:firstLine="1084"/>
        <w:rPr>
          <w:rFonts w:hint="eastAsia" w:ascii="仿宋" w:hAnsi="仿宋" w:eastAsia="仿宋" w:cs="仿宋"/>
          <w:b/>
          <w:color w:val="auto"/>
          <w:sz w:val="36"/>
          <w:highlight w:val="none"/>
        </w:rPr>
      </w:pPr>
      <w:r>
        <w:rPr>
          <w:rFonts w:hint="eastAsia" w:ascii="仿宋" w:hAnsi="仿宋" w:eastAsia="仿宋" w:cs="仿宋"/>
          <w:b/>
          <w:color w:val="auto"/>
          <w:sz w:val="36"/>
          <w:highlight w:val="none"/>
        </w:rPr>
        <w:t>项 目 名 称：</w:t>
      </w:r>
      <w:r>
        <w:rPr>
          <w:rFonts w:hint="eastAsia" w:ascii="仿宋" w:hAnsi="仿宋" w:eastAsia="仿宋" w:cs="仿宋"/>
          <w:b/>
          <w:color w:val="auto"/>
          <w:sz w:val="36"/>
          <w:highlight w:val="none"/>
          <w:u w:val="single"/>
        </w:rPr>
        <w:t xml:space="preserve">               </w:t>
      </w:r>
    </w:p>
    <w:p w14:paraId="0E884DEC">
      <w:pPr>
        <w:ind w:firstLine="1084"/>
        <w:rPr>
          <w:rFonts w:hint="eastAsia" w:ascii="仿宋" w:hAnsi="仿宋" w:eastAsia="仿宋" w:cs="仿宋"/>
          <w:b/>
          <w:color w:val="auto"/>
          <w:sz w:val="36"/>
          <w:highlight w:val="none"/>
          <w:u w:val="single"/>
        </w:rPr>
      </w:pPr>
      <w:r>
        <w:rPr>
          <w:rFonts w:hint="eastAsia" w:ascii="仿宋" w:hAnsi="仿宋" w:eastAsia="仿宋" w:cs="仿宋"/>
          <w:b/>
          <w:color w:val="auto"/>
          <w:sz w:val="36"/>
          <w:highlight w:val="none"/>
        </w:rPr>
        <w:t>项 目 编 号：</w:t>
      </w:r>
      <w:r>
        <w:rPr>
          <w:rFonts w:hint="eastAsia" w:ascii="仿宋" w:hAnsi="仿宋" w:eastAsia="仿宋" w:cs="仿宋"/>
          <w:b/>
          <w:color w:val="auto"/>
          <w:sz w:val="36"/>
          <w:highlight w:val="none"/>
          <w:u w:val="single"/>
        </w:rPr>
        <w:t xml:space="preserve">               </w:t>
      </w:r>
    </w:p>
    <w:p w14:paraId="4F4B520D">
      <w:pPr>
        <w:rPr>
          <w:rFonts w:hint="eastAsia" w:ascii="仿宋" w:hAnsi="仿宋" w:eastAsia="仿宋" w:cs="仿宋"/>
          <w:b/>
          <w:color w:val="auto"/>
          <w:sz w:val="36"/>
          <w:highlight w:val="none"/>
          <w:u w:val="single"/>
        </w:rPr>
      </w:pPr>
      <w:r>
        <w:rPr>
          <w:rFonts w:hint="eastAsia" w:ascii="仿宋" w:hAnsi="仿宋" w:eastAsia="仿宋" w:cs="仿宋"/>
          <w:b/>
          <w:color w:val="auto"/>
          <w:sz w:val="36"/>
          <w:highlight w:val="none"/>
        </w:rPr>
        <w:t xml:space="preserve">      投标人名称 ：</w:t>
      </w:r>
      <w:r>
        <w:rPr>
          <w:rFonts w:hint="eastAsia" w:ascii="仿宋" w:hAnsi="仿宋" w:eastAsia="仿宋" w:cs="仿宋"/>
          <w:b/>
          <w:color w:val="auto"/>
          <w:sz w:val="36"/>
          <w:highlight w:val="none"/>
          <w:u w:val="single"/>
        </w:rPr>
        <w:t>（加盖CA电子公章）</w:t>
      </w:r>
    </w:p>
    <w:p w14:paraId="3C6F0B1A">
      <w:pPr>
        <w:rPr>
          <w:rFonts w:hint="eastAsia" w:ascii="仿宋" w:hAnsi="仿宋" w:eastAsia="仿宋" w:cs="仿宋"/>
          <w:b/>
          <w:color w:val="auto"/>
          <w:sz w:val="36"/>
          <w:highlight w:val="none"/>
          <w:u w:val="single"/>
        </w:rPr>
      </w:pPr>
      <w:r>
        <w:rPr>
          <w:rFonts w:hint="eastAsia" w:ascii="仿宋" w:hAnsi="仿宋" w:eastAsia="仿宋" w:cs="仿宋"/>
          <w:b/>
          <w:color w:val="auto"/>
          <w:sz w:val="36"/>
          <w:highlight w:val="none"/>
        </w:rPr>
        <w:t xml:space="preserve">      日      期 ：</w:t>
      </w:r>
      <w:r>
        <w:rPr>
          <w:rFonts w:hint="eastAsia" w:ascii="仿宋" w:hAnsi="仿宋" w:eastAsia="仿宋" w:cs="仿宋"/>
          <w:b/>
          <w:color w:val="auto"/>
          <w:sz w:val="36"/>
          <w:highlight w:val="none"/>
          <w:u w:val="single"/>
        </w:rPr>
        <w:t xml:space="preserve">               </w:t>
      </w:r>
    </w:p>
    <w:p w14:paraId="2C169DD6">
      <w:pPr>
        <w:spacing w:line="440" w:lineRule="exact"/>
        <w:jc w:val="center"/>
        <w:rPr>
          <w:rFonts w:hint="eastAsia" w:ascii="仿宋" w:hAnsi="仿宋" w:eastAsia="仿宋" w:cs="仿宋"/>
          <w:b/>
          <w:bCs/>
          <w:color w:val="auto"/>
          <w:sz w:val="32"/>
          <w:szCs w:val="32"/>
          <w:highlight w:val="none"/>
        </w:rPr>
      </w:pPr>
    </w:p>
    <w:p w14:paraId="3FB1561A">
      <w:pPr>
        <w:spacing w:line="440" w:lineRule="exact"/>
        <w:rPr>
          <w:rFonts w:hint="eastAsia" w:ascii="仿宋" w:hAnsi="仿宋" w:eastAsia="仿宋" w:cs="仿宋"/>
          <w:color w:val="auto"/>
          <w:highlight w:val="none"/>
        </w:rPr>
      </w:pPr>
    </w:p>
    <w:p w14:paraId="2132F82A">
      <w:pPr>
        <w:ind w:firstLine="1084"/>
        <w:rPr>
          <w:rFonts w:hint="eastAsia" w:ascii="仿宋" w:hAnsi="仿宋" w:eastAsia="仿宋" w:cs="仿宋"/>
          <w:b/>
          <w:bCs/>
          <w:color w:val="auto"/>
          <w:sz w:val="32"/>
          <w:szCs w:val="32"/>
          <w:highlight w:val="none"/>
        </w:rPr>
      </w:pPr>
      <w:r>
        <w:rPr>
          <w:rFonts w:hint="eastAsia" w:ascii="仿宋" w:hAnsi="仿宋" w:eastAsia="仿宋" w:cs="仿宋"/>
          <w:b/>
          <w:color w:val="auto"/>
          <w:sz w:val="36"/>
          <w:highlight w:val="none"/>
          <w:u w:val="single"/>
        </w:rPr>
        <w:br w:type="page" w:clear="all"/>
      </w:r>
    </w:p>
    <w:p w14:paraId="37089DAF">
      <w:pPr>
        <w:spacing w:line="44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投标文件目录</w:t>
      </w:r>
    </w:p>
    <w:p w14:paraId="43C828C7">
      <w:pPr>
        <w:spacing w:line="440" w:lineRule="exact"/>
        <w:jc w:val="center"/>
        <w:rPr>
          <w:rFonts w:hint="eastAsia" w:ascii="仿宋" w:hAnsi="仿宋" w:eastAsia="仿宋" w:cs="仿宋"/>
          <w:b/>
          <w:bCs/>
          <w:color w:val="auto"/>
          <w:sz w:val="32"/>
          <w:szCs w:val="32"/>
          <w:highlight w:val="none"/>
        </w:rPr>
      </w:pPr>
    </w:p>
    <w:p w14:paraId="15B55508">
      <w:pPr>
        <w:spacing w:line="6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一、投标函</w:t>
      </w:r>
    </w:p>
    <w:p w14:paraId="57400CE0">
      <w:pPr>
        <w:spacing w:line="6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、满足特定资格要求的证明文件（如果设置特定资格要求，则需要提供）</w:t>
      </w:r>
    </w:p>
    <w:p w14:paraId="6AA6710F">
      <w:pPr>
        <w:spacing w:line="6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、法人授权书</w:t>
      </w:r>
    </w:p>
    <w:p w14:paraId="40D1A34B">
      <w:pPr>
        <w:spacing w:line="6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、开标一览表</w:t>
      </w:r>
    </w:p>
    <w:p w14:paraId="07DD8ED4">
      <w:pPr>
        <w:spacing w:line="6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分项报价表</w:t>
      </w:r>
    </w:p>
    <w:p w14:paraId="7131DE81">
      <w:pPr>
        <w:spacing w:line="6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、中小企业或残疾人福利性单位声明</w:t>
      </w:r>
    </w:p>
    <w:p w14:paraId="08B0AA96">
      <w:pPr>
        <w:spacing w:line="600" w:lineRule="exact"/>
        <w:ind w:firstLine="56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七、项目实施方案</w:t>
      </w:r>
    </w:p>
    <w:p w14:paraId="69BAA677">
      <w:pPr>
        <w:spacing w:line="6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rPr>
        <w:t>、项目组成员</w:t>
      </w:r>
    </w:p>
    <w:p w14:paraId="618444BF">
      <w:pPr>
        <w:spacing w:line="6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rPr>
        <w:t>、企业业绩</w:t>
      </w:r>
    </w:p>
    <w:p w14:paraId="188418C0">
      <w:pPr>
        <w:spacing w:line="600" w:lineRule="exact"/>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十、服务要求承诺</w:t>
      </w:r>
    </w:p>
    <w:p w14:paraId="0BEA4F9A">
      <w:pPr>
        <w:spacing w:line="6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、投标所需其他材料</w:t>
      </w:r>
    </w:p>
    <w:p w14:paraId="34BCD7CB">
      <w:pPr>
        <w:rPr>
          <w:rFonts w:hint="eastAsia" w:ascii="仿宋" w:hAnsi="仿宋" w:eastAsia="仿宋" w:cs="仿宋"/>
          <w:caps w:val="0"/>
          <w:color w:val="auto"/>
          <w:highlight w:val="none"/>
          <w:lang w:val="en-US" w:eastAsia="zh-CN"/>
        </w:rPr>
      </w:pPr>
    </w:p>
    <w:p w14:paraId="0855A67E">
      <w:pPr>
        <w:spacing w:line="440" w:lineRule="exact"/>
        <w:ind w:firstLine="480"/>
        <w:rPr>
          <w:rFonts w:hint="eastAsia" w:ascii="仿宋" w:hAnsi="仿宋" w:eastAsia="仿宋" w:cs="仿宋"/>
          <w:color w:val="auto"/>
          <w:sz w:val="24"/>
          <w:highlight w:val="none"/>
        </w:rPr>
      </w:pPr>
    </w:p>
    <w:p w14:paraId="5C79BB65">
      <w:pPr>
        <w:spacing w:line="440" w:lineRule="exact"/>
        <w:ind w:firstLine="480"/>
        <w:rPr>
          <w:rFonts w:hint="eastAsia" w:ascii="仿宋" w:hAnsi="仿宋" w:eastAsia="仿宋" w:cs="仿宋"/>
          <w:color w:val="auto"/>
          <w:sz w:val="24"/>
          <w:highlight w:val="none"/>
        </w:rPr>
      </w:pPr>
    </w:p>
    <w:p w14:paraId="70BCFBCB">
      <w:pPr>
        <w:spacing w:line="440" w:lineRule="exact"/>
        <w:ind w:firstLine="480"/>
        <w:rPr>
          <w:rFonts w:hint="eastAsia" w:ascii="仿宋" w:hAnsi="仿宋" w:eastAsia="仿宋" w:cs="仿宋"/>
          <w:color w:val="auto"/>
          <w:sz w:val="24"/>
          <w:highlight w:val="none"/>
        </w:rPr>
      </w:pPr>
    </w:p>
    <w:p w14:paraId="6E50DAEC">
      <w:pPr>
        <w:spacing w:line="440" w:lineRule="exact"/>
        <w:ind w:firstLine="480"/>
        <w:rPr>
          <w:rFonts w:hint="eastAsia" w:ascii="仿宋" w:hAnsi="仿宋" w:eastAsia="仿宋" w:cs="仿宋"/>
          <w:color w:val="auto"/>
          <w:sz w:val="24"/>
          <w:highlight w:val="none"/>
        </w:rPr>
      </w:pPr>
    </w:p>
    <w:p w14:paraId="6C5E5E64">
      <w:pPr>
        <w:spacing w:line="440" w:lineRule="exact"/>
        <w:ind w:firstLine="480"/>
        <w:rPr>
          <w:rFonts w:hint="eastAsia" w:ascii="仿宋" w:hAnsi="仿宋" w:eastAsia="仿宋" w:cs="仿宋"/>
          <w:color w:val="auto"/>
          <w:sz w:val="24"/>
          <w:highlight w:val="none"/>
        </w:rPr>
      </w:pPr>
    </w:p>
    <w:p w14:paraId="6DAF5249">
      <w:pPr>
        <w:rPr>
          <w:rFonts w:hint="eastAsia" w:ascii="仿宋" w:hAnsi="仿宋" w:eastAsia="仿宋" w:cs="仿宋"/>
          <w:color w:val="auto"/>
          <w:highlight w:val="none"/>
        </w:rPr>
      </w:pPr>
      <w:bookmarkStart w:id="164" w:name="_Toc23838"/>
    </w:p>
    <w:p w14:paraId="43FF3213">
      <w:pPr>
        <w:rPr>
          <w:rFonts w:hint="eastAsia" w:ascii="仿宋" w:hAnsi="仿宋" w:eastAsia="仿宋" w:cs="仿宋"/>
          <w:color w:val="auto"/>
          <w:highlight w:val="none"/>
        </w:rPr>
      </w:pPr>
    </w:p>
    <w:p w14:paraId="44638170">
      <w:pPr>
        <w:rPr>
          <w:rFonts w:hint="eastAsia" w:ascii="仿宋" w:hAnsi="仿宋" w:eastAsia="仿宋" w:cs="仿宋"/>
          <w:color w:val="auto"/>
          <w:highlight w:val="none"/>
        </w:rPr>
      </w:pPr>
    </w:p>
    <w:p w14:paraId="703F2E25">
      <w:pPr>
        <w:rPr>
          <w:rFonts w:hint="eastAsia" w:ascii="仿宋" w:hAnsi="仿宋" w:eastAsia="仿宋" w:cs="仿宋"/>
          <w:color w:val="auto"/>
          <w:highlight w:val="none"/>
        </w:rPr>
      </w:pPr>
      <w:r>
        <w:rPr>
          <w:rFonts w:hint="eastAsia" w:ascii="仿宋" w:hAnsi="仿宋" w:eastAsia="仿宋" w:cs="仿宋"/>
          <w:color w:val="auto"/>
          <w:highlight w:val="none"/>
        </w:rPr>
        <w:br w:type="page" w:clear="all"/>
      </w:r>
      <w:bookmarkEnd w:id="164"/>
    </w:p>
    <w:p w14:paraId="778977F9">
      <w:pPr>
        <w:keepNext w:val="0"/>
        <w:spacing w:before="120" w:after="120"/>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w:t>
      </w:r>
      <w:bookmarkEnd w:id="161"/>
      <w:bookmarkEnd w:id="162"/>
      <w:bookmarkEnd w:id="163"/>
      <w:bookmarkStart w:id="165" w:name="_Toc120614284"/>
      <w:r>
        <w:rPr>
          <w:rFonts w:hint="eastAsia" w:ascii="仿宋" w:hAnsi="仿宋" w:eastAsia="仿宋" w:cs="仿宋"/>
          <w:b/>
          <w:bCs/>
          <w:color w:val="auto"/>
          <w:sz w:val="32"/>
          <w:szCs w:val="32"/>
          <w:highlight w:val="none"/>
          <w:lang w:val="en-US" w:eastAsia="zh-CN"/>
        </w:rPr>
        <w:t>投标函</w:t>
      </w:r>
    </w:p>
    <w:p w14:paraId="65D5E131">
      <w:pPr>
        <w:spacing w:line="500" w:lineRule="exact"/>
        <w:jc w:val="center"/>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u w:val="none"/>
          <w:lang w:val="en-US" w:eastAsia="zh-CN"/>
        </w:rPr>
        <w:t>投标函</w:t>
      </w:r>
    </w:p>
    <w:p w14:paraId="46B76A8F">
      <w:pPr>
        <w:spacing w:line="50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eastAsia="zh-CN"/>
        </w:rPr>
        <w:t>宿迁市自然资源和规划局</w:t>
      </w:r>
      <w:r>
        <w:rPr>
          <w:rFonts w:hint="eastAsia" w:ascii="仿宋" w:hAnsi="仿宋" w:eastAsia="仿宋" w:cs="仿宋"/>
          <w:color w:val="auto"/>
          <w:sz w:val="24"/>
          <w:szCs w:val="24"/>
          <w:highlight w:val="none"/>
          <w:u w:val="none"/>
        </w:rPr>
        <w:t>：</w:t>
      </w:r>
    </w:p>
    <w:p w14:paraId="1CA01272">
      <w:pPr>
        <w:spacing w:line="500" w:lineRule="exact"/>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根据已收到的项目编号为</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eastAsia="zh-CN"/>
        </w:rPr>
        <w:t>宿迁市申报国际湿地城市认证技术服务项目</w:t>
      </w:r>
      <w:r>
        <w:rPr>
          <w:rFonts w:hint="eastAsia" w:ascii="仿宋" w:hAnsi="仿宋" w:eastAsia="仿宋" w:cs="仿宋"/>
          <w:color w:val="auto"/>
          <w:sz w:val="24"/>
          <w:szCs w:val="24"/>
          <w:highlight w:val="none"/>
        </w:rPr>
        <w:t>的招标文件，我方在参加本项目招投标活动中，特</w:t>
      </w:r>
      <w:r>
        <w:rPr>
          <w:rFonts w:hint="eastAsia" w:ascii="仿宋" w:hAnsi="仿宋" w:eastAsia="仿宋" w:cs="仿宋"/>
          <w:color w:val="auto"/>
          <w:sz w:val="24"/>
          <w:szCs w:val="24"/>
          <w:highlight w:val="none"/>
          <w:lang w:val="en-US" w:eastAsia="zh-CN"/>
        </w:rPr>
        <w:t>作</w:t>
      </w:r>
      <w:r>
        <w:rPr>
          <w:rFonts w:hint="eastAsia" w:ascii="仿宋" w:hAnsi="仿宋" w:eastAsia="仿宋" w:cs="仿宋"/>
          <w:color w:val="auto"/>
          <w:sz w:val="24"/>
          <w:szCs w:val="24"/>
          <w:highlight w:val="none"/>
        </w:rPr>
        <w:t>出如下承诺：</w:t>
      </w:r>
    </w:p>
    <w:p w14:paraId="09F5707F">
      <w:pPr>
        <w:spacing w:line="500" w:lineRule="exact"/>
        <w:ind w:firstLine="48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rPr>
        <w:t>一、我方</w:t>
      </w:r>
      <w:r>
        <w:rPr>
          <w:rFonts w:hint="eastAsia" w:ascii="仿宋" w:hAnsi="仿宋" w:eastAsia="仿宋" w:cs="仿宋"/>
          <w:color w:val="auto"/>
          <w:sz w:val="24"/>
          <w:highlight w:val="none"/>
        </w:rPr>
        <w:t>具备《中华人民共和国政府采购法》第二十二条第一款规定的6项条件</w:t>
      </w:r>
      <w:r>
        <w:rPr>
          <w:rFonts w:hint="eastAsia" w:ascii="仿宋" w:hAnsi="仿宋" w:eastAsia="仿宋" w:cs="仿宋"/>
          <w:color w:val="auto"/>
          <w:sz w:val="24"/>
          <w:highlight w:val="none"/>
          <w:lang w:eastAsia="zh-CN"/>
        </w:rPr>
        <w:t>。</w:t>
      </w:r>
    </w:p>
    <w:p w14:paraId="7FE884BD">
      <w:pPr>
        <w:spacing w:line="500" w:lineRule="exact"/>
        <w:ind w:firstLine="48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二、我方在参加政府采购活动前三年内（自本项目开标时间之日起计算），在经营活动中没有重大违法记录（指因违法经营受到刑事处罚或者责令停产停业、吊销许可证或者执照、较大数额罚款等行政处罚）</w:t>
      </w:r>
      <w:r>
        <w:rPr>
          <w:rFonts w:hint="eastAsia" w:ascii="仿宋" w:hAnsi="仿宋" w:eastAsia="仿宋" w:cs="仿宋"/>
          <w:color w:val="auto"/>
          <w:sz w:val="24"/>
          <w:szCs w:val="24"/>
          <w:highlight w:val="none"/>
          <w:lang w:eastAsia="zh-CN"/>
        </w:rPr>
        <w:t>。</w:t>
      </w:r>
    </w:p>
    <w:p w14:paraId="3A67F111">
      <w:pPr>
        <w:spacing w:line="500" w:lineRule="exact"/>
        <w:ind w:firstLine="48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三、我方按招标文件要求提交投标文件，响应招标文件规定的投标有效期</w:t>
      </w:r>
      <w:r>
        <w:rPr>
          <w:rFonts w:hint="eastAsia" w:ascii="仿宋" w:hAnsi="仿宋" w:eastAsia="仿宋" w:cs="仿宋"/>
          <w:color w:val="auto"/>
          <w:sz w:val="24"/>
          <w:szCs w:val="24"/>
          <w:highlight w:val="none"/>
          <w:lang w:eastAsia="zh-CN"/>
        </w:rPr>
        <w:t>。</w:t>
      </w:r>
    </w:p>
    <w:p w14:paraId="1F5E1459">
      <w:pPr>
        <w:spacing w:line="500" w:lineRule="exact"/>
        <w:ind w:firstLine="48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四、如果我方的投标文件被接受，我方将按《中华人民共和国民法典（第三编合同）》及其他有关法律、法规的规定，按期、按质、按量交付采购单位，全面做到履约守信</w:t>
      </w:r>
      <w:r>
        <w:rPr>
          <w:rFonts w:hint="eastAsia" w:ascii="仿宋" w:hAnsi="仿宋" w:eastAsia="仿宋" w:cs="仿宋"/>
          <w:color w:val="auto"/>
          <w:sz w:val="24"/>
          <w:szCs w:val="24"/>
          <w:highlight w:val="none"/>
          <w:lang w:eastAsia="zh-CN"/>
        </w:rPr>
        <w:t>。</w:t>
      </w:r>
    </w:p>
    <w:p w14:paraId="78686754">
      <w:pPr>
        <w:spacing w:line="500" w:lineRule="exact"/>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五、我方若违背本声明及承诺约定，经查实，自愿接受采购人及相关主管部门相应的规定处理，并依法承担相应的法律责任。</w:t>
      </w:r>
    </w:p>
    <w:p w14:paraId="08753EDE">
      <w:pPr>
        <w:spacing w:line="500" w:lineRule="exact"/>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六、我方同意采购人、采购代理机构将本声明及承诺函上网公开。</w:t>
      </w:r>
    </w:p>
    <w:p w14:paraId="75C5FF37">
      <w:pPr>
        <w:spacing w:line="500" w:lineRule="exact"/>
        <w:ind w:firstLine="480"/>
        <w:jc w:val="left"/>
        <w:rPr>
          <w:rFonts w:hint="eastAsia" w:ascii="仿宋" w:hAnsi="仿宋" w:eastAsia="仿宋" w:cs="仿宋"/>
          <w:color w:val="auto"/>
          <w:sz w:val="24"/>
          <w:szCs w:val="24"/>
          <w:highlight w:val="none"/>
        </w:rPr>
      </w:pPr>
    </w:p>
    <w:p w14:paraId="07E86941">
      <w:pPr>
        <w:spacing w:line="500" w:lineRule="exact"/>
        <w:jc w:val="left"/>
        <w:rPr>
          <w:rFonts w:hint="eastAsia" w:ascii="仿宋" w:hAnsi="仿宋" w:eastAsia="仿宋" w:cs="仿宋"/>
          <w:color w:val="auto"/>
          <w:sz w:val="24"/>
          <w:szCs w:val="24"/>
          <w:highlight w:val="none"/>
        </w:rPr>
      </w:pPr>
    </w:p>
    <w:p w14:paraId="16A76779">
      <w:pPr>
        <w:spacing w:line="500" w:lineRule="exact"/>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（加盖CA电子公章）</w:t>
      </w:r>
    </w:p>
    <w:p w14:paraId="07E3F269">
      <w:pPr>
        <w:ind w:firstLine="480"/>
        <w:rPr>
          <w:rFonts w:hint="eastAsia" w:ascii="仿宋" w:hAnsi="仿宋" w:eastAsia="仿宋" w:cs="仿宋"/>
          <w:color w:val="auto"/>
          <w:highlight w:val="none"/>
        </w:rPr>
      </w:pPr>
      <w:r>
        <w:rPr>
          <w:rFonts w:hint="eastAsia" w:ascii="仿宋" w:hAnsi="仿宋" w:eastAsia="仿宋" w:cs="仿宋"/>
          <w:color w:val="auto"/>
          <w:sz w:val="24"/>
          <w:szCs w:val="24"/>
          <w:highlight w:val="none"/>
        </w:rPr>
        <w:t>日期：    年    月   日</w:t>
      </w:r>
    </w:p>
    <w:p w14:paraId="12FD24F2">
      <w:pPr>
        <w:keepNext w:val="0"/>
        <w:spacing w:before="120" w:after="120"/>
        <w:jc w:val="left"/>
        <w:rPr>
          <w:rFonts w:hint="eastAsia" w:ascii="仿宋" w:hAnsi="仿宋" w:eastAsia="仿宋" w:cs="仿宋"/>
          <w:i/>
          <w:color w:val="auto"/>
          <w:sz w:val="32"/>
          <w:szCs w:val="32"/>
          <w:highlight w:val="none"/>
          <w:u w:val="single"/>
        </w:rPr>
      </w:pPr>
      <w:r>
        <w:rPr>
          <w:rFonts w:hint="eastAsia" w:ascii="仿宋" w:hAnsi="仿宋" w:eastAsia="仿宋" w:cs="仿宋"/>
          <w:color w:val="auto"/>
          <w:highlight w:val="none"/>
        </w:rPr>
        <w:br w:type="page" w:clear="all"/>
      </w:r>
      <w:r>
        <w:rPr>
          <w:rFonts w:hint="eastAsia" w:ascii="仿宋" w:hAnsi="仿宋" w:eastAsia="仿宋" w:cs="仿宋"/>
          <w:b/>
          <w:bCs/>
          <w:color w:val="auto"/>
          <w:sz w:val="32"/>
          <w:szCs w:val="32"/>
          <w:highlight w:val="none"/>
          <w:lang w:val="en-US" w:eastAsia="zh-CN"/>
        </w:rPr>
        <w:t>二、特定资格要求的证明文件</w:t>
      </w:r>
    </w:p>
    <w:p w14:paraId="2FEBE3C0">
      <w:pPr>
        <w:spacing w:line="46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 xml:space="preserve">    如果本项目申请人的特定资格要求中要求提供的，必须提供。</w:t>
      </w:r>
    </w:p>
    <w:p w14:paraId="574AFB1B">
      <w:pPr>
        <w:spacing w:line="460" w:lineRule="exact"/>
        <w:rPr>
          <w:rFonts w:hint="eastAsia" w:ascii="仿宋" w:hAnsi="仿宋" w:eastAsia="仿宋" w:cs="仿宋"/>
          <w:bCs/>
          <w:color w:val="auto"/>
          <w:sz w:val="24"/>
          <w:highlight w:val="none"/>
        </w:rPr>
      </w:pPr>
    </w:p>
    <w:p w14:paraId="182AED63">
      <w:pPr>
        <w:jc w:val="center"/>
        <w:rPr>
          <w:rFonts w:hint="eastAsia" w:ascii="仿宋" w:hAnsi="仿宋" w:eastAsia="仿宋" w:cs="仿宋"/>
          <w:i/>
          <w:color w:val="auto"/>
          <w:sz w:val="32"/>
          <w:szCs w:val="32"/>
          <w:highlight w:val="none"/>
          <w:u w:val="single"/>
        </w:rPr>
      </w:pPr>
    </w:p>
    <w:p w14:paraId="01FF2887">
      <w:pPr>
        <w:jc w:val="center"/>
        <w:rPr>
          <w:rFonts w:hint="eastAsia" w:ascii="仿宋" w:hAnsi="仿宋" w:eastAsia="仿宋" w:cs="仿宋"/>
          <w:i/>
          <w:color w:val="auto"/>
          <w:sz w:val="32"/>
          <w:szCs w:val="32"/>
          <w:highlight w:val="none"/>
          <w:u w:val="single"/>
        </w:rPr>
      </w:pPr>
    </w:p>
    <w:p w14:paraId="4D860E6E">
      <w:pPr>
        <w:jc w:val="center"/>
        <w:rPr>
          <w:rFonts w:hint="eastAsia" w:ascii="仿宋" w:hAnsi="仿宋" w:eastAsia="仿宋" w:cs="仿宋"/>
          <w:i/>
          <w:color w:val="auto"/>
          <w:sz w:val="32"/>
          <w:szCs w:val="32"/>
          <w:highlight w:val="none"/>
          <w:u w:val="single"/>
        </w:rPr>
      </w:pPr>
    </w:p>
    <w:p w14:paraId="3D479E83">
      <w:pPr>
        <w:jc w:val="center"/>
        <w:rPr>
          <w:rFonts w:hint="eastAsia" w:ascii="仿宋" w:hAnsi="仿宋" w:eastAsia="仿宋" w:cs="仿宋"/>
          <w:i/>
          <w:color w:val="auto"/>
          <w:sz w:val="32"/>
          <w:szCs w:val="32"/>
          <w:highlight w:val="none"/>
          <w:u w:val="single"/>
        </w:rPr>
      </w:pPr>
    </w:p>
    <w:p w14:paraId="2745C907">
      <w:pPr>
        <w:jc w:val="center"/>
        <w:rPr>
          <w:rFonts w:hint="eastAsia" w:ascii="仿宋" w:hAnsi="仿宋" w:eastAsia="仿宋" w:cs="仿宋"/>
          <w:i/>
          <w:color w:val="auto"/>
          <w:sz w:val="32"/>
          <w:szCs w:val="32"/>
          <w:highlight w:val="none"/>
          <w:u w:val="single"/>
        </w:rPr>
      </w:pPr>
    </w:p>
    <w:p w14:paraId="31721F6A">
      <w:pPr>
        <w:jc w:val="center"/>
        <w:rPr>
          <w:rFonts w:hint="eastAsia" w:ascii="仿宋" w:hAnsi="仿宋" w:eastAsia="仿宋" w:cs="仿宋"/>
          <w:i/>
          <w:color w:val="auto"/>
          <w:sz w:val="32"/>
          <w:szCs w:val="32"/>
          <w:highlight w:val="none"/>
          <w:u w:val="single"/>
        </w:rPr>
      </w:pPr>
    </w:p>
    <w:p w14:paraId="4A30F261">
      <w:pPr>
        <w:jc w:val="center"/>
        <w:rPr>
          <w:rFonts w:hint="eastAsia" w:ascii="仿宋" w:hAnsi="仿宋" w:eastAsia="仿宋" w:cs="仿宋"/>
          <w:i/>
          <w:color w:val="auto"/>
          <w:sz w:val="32"/>
          <w:szCs w:val="32"/>
          <w:highlight w:val="none"/>
          <w:u w:val="single"/>
        </w:rPr>
      </w:pPr>
    </w:p>
    <w:p w14:paraId="4F8330EF">
      <w:pPr>
        <w:jc w:val="center"/>
        <w:rPr>
          <w:rFonts w:hint="eastAsia" w:ascii="仿宋" w:hAnsi="仿宋" w:eastAsia="仿宋" w:cs="仿宋"/>
          <w:i/>
          <w:color w:val="auto"/>
          <w:sz w:val="32"/>
          <w:szCs w:val="32"/>
          <w:highlight w:val="none"/>
          <w:u w:val="single"/>
        </w:rPr>
      </w:pPr>
    </w:p>
    <w:p w14:paraId="440E2B08">
      <w:pPr>
        <w:jc w:val="center"/>
        <w:rPr>
          <w:rFonts w:hint="eastAsia" w:ascii="仿宋" w:hAnsi="仿宋" w:eastAsia="仿宋" w:cs="仿宋"/>
          <w:i/>
          <w:color w:val="auto"/>
          <w:sz w:val="32"/>
          <w:szCs w:val="32"/>
          <w:highlight w:val="none"/>
          <w:u w:val="single"/>
        </w:rPr>
      </w:pPr>
    </w:p>
    <w:p w14:paraId="5277B888">
      <w:pPr>
        <w:jc w:val="center"/>
        <w:rPr>
          <w:rFonts w:hint="eastAsia" w:ascii="仿宋" w:hAnsi="仿宋" w:eastAsia="仿宋" w:cs="仿宋"/>
          <w:i/>
          <w:color w:val="auto"/>
          <w:sz w:val="32"/>
          <w:szCs w:val="32"/>
          <w:highlight w:val="none"/>
          <w:u w:val="single"/>
        </w:rPr>
      </w:pPr>
    </w:p>
    <w:p w14:paraId="39B58F77">
      <w:pPr>
        <w:jc w:val="center"/>
        <w:rPr>
          <w:rFonts w:hint="eastAsia" w:ascii="仿宋" w:hAnsi="仿宋" w:eastAsia="仿宋" w:cs="仿宋"/>
          <w:i/>
          <w:color w:val="auto"/>
          <w:sz w:val="32"/>
          <w:szCs w:val="32"/>
          <w:highlight w:val="none"/>
          <w:u w:val="single"/>
        </w:rPr>
      </w:pPr>
    </w:p>
    <w:p w14:paraId="7B5EC585">
      <w:pPr>
        <w:jc w:val="center"/>
        <w:rPr>
          <w:rFonts w:hint="eastAsia" w:ascii="仿宋" w:hAnsi="仿宋" w:eastAsia="仿宋" w:cs="仿宋"/>
          <w:i/>
          <w:color w:val="auto"/>
          <w:sz w:val="32"/>
          <w:szCs w:val="32"/>
          <w:highlight w:val="none"/>
          <w:u w:val="single"/>
        </w:rPr>
      </w:pPr>
    </w:p>
    <w:p w14:paraId="53A42110">
      <w:pPr>
        <w:jc w:val="center"/>
        <w:rPr>
          <w:rFonts w:hint="eastAsia" w:ascii="仿宋" w:hAnsi="仿宋" w:eastAsia="仿宋" w:cs="仿宋"/>
          <w:i/>
          <w:color w:val="auto"/>
          <w:sz w:val="32"/>
          <w:szCs w:val="32"/>
          <w:highlight w:val="none"/>
          <w:u w:val="single"/>
        </w:rPr>
      </w:pPr>
    </w:p>
    <w:p w14:paraId="57DEB386">
      <w:pPr>
        <w:jc w:val="center"/>
        <w:rPr>
          <w:rFonts w:hint="eastAsia" w:ascii="仿宋" w:hAnsi="仿宋" w:eastAsia="仿宋" w:cs="仿宋"/>
          <w:i/>
          <w:color w:val="auto"/>
          <w:sz w:val="32"/>
          <w:szCs w:val="32"/>
          <w:highlight w:val="none"/>
          <w:u w:val="single"/>
        </w:rPr>
      </w:pPr>
    </w:p>
    <w:p w14:paraId="61E682E5">
      <w:pPr>
        <w:jc w:val="center"/>
        <w:rPr>
          <w:rFonts w:hint="eastAsia" w:ascii="仿宋" w:hAnsi="仿宋" w:eastAsia="仿宋" w:cs="仿宋"/>
          <w:i/>
          <w:color w:val="auto"/>
          <w:sz w:val="32"/>
          <w:szCs w:val="32"/>
          <w:highlight w:val="none"/>
          <w:u w:val="single"/>
        </w:rPr>
      </w:pPr>
    </w:p>
    <w:p w14:paraId="71FB600F">
      <w:pPr>
        <w:jc w:val="center"/>
        <w:rPr>
          <w:rFonts w:hint="eastAsia" w:ascii="仿宋" w:hAnsi="仿宋" w:eastAsia="仿宋" w:cs="仿宋"/>
          <w:i/>
          <w:color w:val="auto"/>
          <w:sz w:val="32"/>
          <w:szCs w:val="32"/>
          <w:highlight w:val="none"/>
          <w:u w:val="single"/>
        </w:rPr>
      </w:pPr>
    </w:p>
    <w:p w14:paraId="2765BF16">
      <w:pPr>
        <w:rPr>
          <w:rFonts w:hint="eastAsia" w:ascii="仿宋" w:hAnsi="仿宋" w:eastAsia="仿宋" w:cs="仿宋"/>
          <w:i/>
          <w:color w:val="auto"/>
          <w:highlight w:val="none"/>
          <w:u w:val="single"/>
          <w:lang w:val="en-US"/>
        </w:rPr>
      </w:pPr>
    </w:p>
    <w:p w14:paraId="2D6A5E32">
      <w:pPr>
        <w:rPr>
          <w:rFonts w:hint="eastAsia" w:ascii="仿宋" w:hAnsi="仿宋" w:eastAsia="仿宋" w:cs="仿宋"/>
          <w:i/>
          <w:color w:val="auto"/>
          <w:highlight w:val="none"/>
          <w:u w:val="single"/>
          <w:lang w:val="en-US"/>
        </w:rPr>
      </w:pPr>
    </w:p>
    <w:p w14:paraId="056F03BB">
      <w:pPr>
        <w:jc w:val="center"/>
        <w:rPr>
          <w:rFonts w:hint="eastAsia" w:ascii="仿宋" w:hAnsi="仿宋" w:eastAsia="仿宋" w:cs="仿宋"/>
          <w:i/>
          <w:color w:val="auto"/>
          <w:sz w:val="32"/>
          <w:szCs w:val="32"/>
          <w:highlight w:val="none"/>
          <w:u w:val="single"/>
        </w:rPr>
      </w:pPr>
    </w:p>
    <w:p w14:paraId="45A5A89A">
      <w:pPr>
        <w:jc w:val="center"/>
        <w:rPr>
          <w:rFonts w:hint="eastAsia" w:ascii="仿宋" w:hAnsi="仿宋" w:eastAsia="仿宋" w:cs="仿宋"/>
          <w:i/>
          <w:color w:val="auto"/>
          <w:sz w:val="32"/>
          <w:szCs w:val="32"/>
          <w:highlight w:val="none"/>
          <w:u w:val="single"/>
        </w:rPr>
      </w:pPr>
    </w:p>
    <w:p w14:paraId="5D530FE2">
      <w:pPr>
        <w:jc w:val="center"/>
        <w:rPr>
          <w:rFonts w:hint="eastAsia" w:ascii="仿宋" w:hAnsi="仿宋" w:eastAsia="仿宋" w:cs="仿宋"/>
          <w:i/>
          <w:color w:val="auto"/>
          <w:sz w:val="32"/>
          <w:szCs w:val="32"/>
          <w:highlight w:val="none"/>
          <w:u w:val="single"/>
        </w:rPr>
      </w:pPr>
    </w:p>
    <w:p w14:paraId="443357C4">
      <w:pPr>
        <w:rPr>
          <w:rFonts w:hint="eastAsia" w:ascii="仿宋" w:hAnsi="仿宋" w:eastAsia="仿宋" w:cs="仿宋"/>
          <w:b/>
          <w:color w:val="auto"/>
          <w:sz w:val="32"/>
          <w:szCs w:val="32"/>
          <w:highlight w:val="none"/>
        </w:rPr>
        <w:sectPr>
          <w:footerReference r:id="rId7" w:type="first"/>
          <w:footerReference r:id="rId6" w:type="default"/>
          <w:pgSz w:w="11906" w:h="16838"/>
          <w:pgMar w:top="1418" w:right="1588" w:bottom="1418" w:left="1365" w:header="851" w:footer="907" w:gutter="0"/>
          <w:pgBorders>
            <w:top w:val="none" w:sz="0" w:space="0"/>
            <w:left w:val="none" w:sz="0" w:space="0"/>
            <w:bottom w:val="none" w:sz="0" w:space="0"/>
            <w:right w:val="none" w:sz="0" w:space="0"/>
          </w:pgBorders>
          <w:pgNumType w:fmt="decimal"/>
          <w:cols w:space="1701" w:num="1"/>
          <w:titlePg/>
          <w:docGrid w:linePitch="360" w:charSpace="0"/>
        </w:sectPr>
      </w:pPr>
    </w:p>
    <w:p w14:paraId="195F7B0B">
      <w:pPr>
        <w:keepNext w:val="0"/>
        <w:spacing w:before="120" w:after="120"/>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三、法人授权书</w:t>
      </w:r>
    </w:p>
    <w:p w14:paraId="280E67F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法人授权书</w:t>
      </w:r>
    </w:p>
    <w:p w14:paraId="71BEF1A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本授权书声明：____________（投标人名称）授权________________（被授权人的姓名）为我方就</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szCs w:val="24"/>
          <w:highlight w:val="none"/>
          <w:u w:val="single"/>
          <w:lang w:eastAsia="zh-CN"/>
        </w:rPr>
        <w:t>宿迁市申报国际湿地城市认证技术服务项目</w:t>
      </w:r>
      <w:r>
        <w:rPr>
          <w:rFonts w:hint="eastAsia" w:ascii="仿宋" w:hAnsi="仿宋" w:eastAsia="仿宋" w:cs="仿宋"/>
          <w:color w:val="auto"/>
          <w:sz w:val="24"/>
          <w:szCs w:val="24"/>
          <w:highlight w:val="none"/>
        </w:rPr>
        <w:t>采购活动的合法代理人，以本单位名义全权处理一切与该项目采购有关的事务。</w:t>
      </w:r>
    </w:p>
    <w:p w14:paraId="0D8CF6C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本授权书于______年____月____日起生效，特此声明。</w:t>
      </w:r>
    </w:p>
    <w:p w14:paraId="1F1F10CE">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被授权人身份证号码：</w:t>
      </w:r>
      <w:r>
        <w:rPr>
          <w:rFonts w:hint="eastAsia" w:ascii="仿宋" w:hAnsi="仿宋" w:eastAsia="仿宋" w:cs="仿宋"/>
          <w:color w:val="auto"/>
          <w:sz w:val="24"/>
          <w:szCs w:val="24"/>
          <w:highlight w:val="none"/>
          <w:u w:val="single"/>
        </w:rPr>
        <w:t xml:space="preserve">                              </w:t>
      </w:r>
    </w:p>
    <w:p w14:paraId="255CD5CE">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被授权人联系电话：（手机）</w:t>
      </w:r>
      <w:r>
        <w:rPr>
          <w:rFonts w:hint="eastAsia" w:ascii="仿宋" w:hAnsi="仿宋" w:eastAsia="仿宋" w:cs="仿宋"/>
          <w:color w:val="auto"/>
          <w:sz w:val="24"/>
          <w:szCs w:val="24"/>
          <w:highlight w:val="none"/>
          <w:u w:val="single"/>
        </w:rPr>
        <w:t xml:space="preserve">                          </w:t>
      </w:r>
    </w:p>
    <w:p w14:paraId="7C19E320">
      <w:pPr>
        <w:keepNext w:val="0"/>
        <w:keepLines w:val="0"/>
        <w:pageBreakBefore w:val="0"/>
        <w:widowControl w:val="0"/>
        <w:kinsoku/>
        <w:wordWrap/>
        <w:overflowPunct/>
        <w:topLinePunct w:val="0"/>
        <w:autoSpaceDE/>
        <w:autoSpaceDN/>
        <w:bidi w:val="0"/>
        <w:adjustRightInd/>
        <w:snapToGrid/>
        <w:spacing w:line="360" w:lineRule="auto"/>
        <w:ind w:firstLine="1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授权单位名称：</w:t>
      </w:r>
      <w:r>
        <w:rPr>
          <w:rFonts w:hint="eastAsia" w:ascii="仿宋" w:hAnsi="仿宋" w:eastAsia="仿宋" w:cs="仿宋"/>
          <w:color w:val="auto"/>
          <w:sz w:val="24"/>
          <w:szCs w:val="24"/>
          <w:highlight w:val="none"/>
          <w:u w:val="single"/>
        </w:rPr>
        <w:t>（加盖CA电子公章）</w:t>
      </w:r>
    </w:p>
    <w:p w14:paraId="6007BC1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14:paraId="0E50760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w:t>
      </w:r>
      <w:bookmarkStart w:id="166" w:name="_Hlt26671380"/>
      <w:bookmarkEnd w:id="166"/>
      <w:bookmarkStart w:id="167" w:name="_格式3__银行出具的资信证明"/>
      <w:bookmarkEnd w:id="167"/>
      <w:bookmarkStart w:id="168" w:name="_Hlt26955070"/>
      <w:bookmarkEnd w:id="168"/>
      <w:r>
        <w:rPr>
          <w:rFonts w:hint="eastAsia" w:ascii="仿宋" w:hAnsi="仿宋" w:eastAsia="仿宋" w:cs="仿宋"/>
          <w:color w:val="auto"/>
          <w:sz w:val="24"/>
          <w:szCs w:val="24"/>
          <w:highlight w:val="none"/>
          <w:u w:val="single"/>
        </w:rPr>
        <w:t xml:space="preserve">                                         </w:t>
      </w:r>
    </w:p>
    <w:p w14:paraId="4BB18C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color w:val="auto"/>
          <w:sz w:val="24"/>
          <w:szCs w:val="24"/>
          <w:highlight w:val="none"/>
          <w:u w:val="single"/>
        </w:rPr>
      </w:pPr>
    </w:p>
    <w:p w14:paraId="2106E48E">
      <w:pPr>
        <w:ind w:firstLine="0"/>
        <w:rPr>
          <w:rFonts w:hint="eastAsia" w:ascii="仿宋" w:hAnsi="仿宋" w:eastAsia="仿宋" w:cs="仿宋"/>
          <w:color w:val="auto"/>
          <w:highlight w:val="none"/>
        </w:rPr>
      </w:pPr>
    </w:p>
    <w:p w14:paraId="3C20D359">
      <w:pPr>
        <w:spacing w:line="460" w:lineRule="exact"/>
        <w:rPr>
          <w:rFonts w:hint="eastAsia" w:ascii="仿宋" w:hAnsi="仿宋" w:eastAsia="仿宋" w:cs="仿宋"/>
          <w:bCs/>
          <w:color w:val="auto"/>
          <w:sz w:val="24"/>
          <w:szCs w:val="24"/>
          <w:highlight w:val="none"/>
        </w:rPr>
      </w:pPr>
    </w:p>
    <w:p w14:paraId="1E446335">
      <w:pPr>
        <w:spacing w:line="460" w:lineRule="exact"/>
        <w:rPr>
          <w:rFonts w:hint="eastAsia" w:ascii="仿宋" w:hAnsi="仿宋" w:eastAsia="仿宋" w:cs="仿宋"/>
          <w:bCs/>
          <w:color w:val="auto"/>
          <w:sz w:val="24"/>
          <w:highlight w:val="none"/>
        </w:rPr>
      </w:pPr>
    </w:p>
    <w:p w14:paraId="5131D571">
      <w:pPr>
        <w:keepNext w:val="0"/>
        <w:spacing w:before="120" w:after="120"/>
        <w:jc w:val="left"/>
        <w:rPr>
          <w:rFonts w:hint="eastAsia" w:ascii="仿宋" w:hAnsi="仿宋" w:eastAsia="仿宋" w:cs="仿宋"/>
          <w:color w:val="auto"/>
          <w:sz w:val="24"/>
          <w:szCs w:val="20"/>
          <w:highlight w:val="none"/>
        </w:rPr>
      </w:pPr>
      <w:r>
        <w:rPr>
          <w:rFonts w:hint="eastAsia" w:ascii="仿宋" w:hAnsi="仿宋" w:eastAsia="仿宋" w:cs="仿宋"/>
          <w:bCs/>
          <w:color w:val="auto"/>
          <w:sz w:val="24"/>
          <w:highlight w:val="none"/>
        </w:rPr>
        <w:br w:type="page" w:clear="all"/>
      </w:r>
      <w:r>
        <w:rPr>
          <w:rFonts w:hint="eastAsia" w:ascii="仿宋" w:hAnsi="仿宋" w:eastAsia="仿宋" w:cs="仿宋"/>
          <w:b/>
          <w:bCs/>
          <w:color w:val="auto"/>
          <w:sz w:val="32"/>
          <w:szCs w:val="32"/>
          <w:highlight w:val="none"/>
          <w:lang w:val="en-US" w:eastAsia="zh-CN"/>
        </w:rPr>
        <w:t>四、开标一览表</w:t>
      </w:r>
    </w:p>
    <w:p w14:paraId="7AA61BC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p w14:paraId="4EB017E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投标人全称(CA公章) ：供应商名称</w:t>
      </w:r>
    </w:p>
    <w:p w14:paraId="62A1362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宿迁市申报国际湿地城市认证技术服务项目</w:t>
      </w:r>
    </w:p>
    <w:p w14:paraId="62E6675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lang w:eastAsia="zh-CN"/>
        </w:rPr>
        <w:t>）</w:t>
      </w:r>
    </w:p>
    <w:tbl>
      <w:tblPr>
        <w:tblStyle w:val="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77"/>
      </w:tblGrid>
      <w:tr w14:paraId="1BF1F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00" w:type="dxa"/>
            <w:noWrap w:val="0"/>
            <w:vAlign w:val="top"/>
          </w:tcPr>
          <w:p w14:paraId="21F89222">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投标总报价</w:t>
            </w:r>
          </w:p>
        </w:tc>
      </w:tr>
      <w:tr w14:paraId="077B0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00" w:type="dxa"/>
            <w:noWrap w:val="0"/>
            <w:vAlign w:val="top"/>
          </w:tcPr>
          <w:p w14:paraId="7CD24A62">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总价（小写）：          （人民币：元）</w:t>
            </w:r>
          </w:p>
        </w:tc>
      </w:tr>
      <w:tr w14:paraId="3A864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00" w:type="dxa"/>
            <w:noWrap w:val="0"/>
            <w:vAlign w:val="top"/>
          </w:tcPr>
          <w:p w14:paraId="2C5E2BC0">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总价（大写）：</w:t>
            </w:r>
            <w:r>
              <w:rPr>
                <w:rStyle w:val="4"/>
                <w:rFonts w:hint="eastAsia" w:ascii="仿宋" w:hAnsi="仿宋" w:eastAsia="仿宋" w:cs="仿宋"/>
                <w:color w:val="auto"/>
                <w:sz w:val="24"/>
                <w:szCs w:val="24"/>
                <w:highlight w:val="none"/>
              </w:rPr>
              <w:t>金额大写</w:t>
            </w:r>
            <w:r>
              <w:rPr>
                <w:rFonts w:hint="eastAsia" w:ascii="仿宋" w:hAnsi="仿宋" w:eastAsia="仿宋" w:cs="仿宋"/>
                <w:color w:val="auto"/>
                <w:sz w:val="24"/>
                <w:szCs w:val="24"/>
                <w:highlight w:val="none"/>
              </w:rPr>
              <w:t xml:space="preserve"> （人民币：元）</w:t>
            </w:r>
          </w:p>
        </w:tc>
      </w:tr>
    </w:tbl>
    <w:p w14:paraId="069BFD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1D74772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4C14509">
      <w:pPr>
        <w:jc w:val="center"/>
        <w:rPr>
          <w:rFonts w:hint="eastAsia" w:ascii="仿宋" w:hAnsi="仿宋" w:eastAsia="仿宋" w:cs="仿宋"/>
          <w:b/>
          <w:bCs/>
          <w:color w:val="auto"/>
          <w:sz w:val="32"/>
          <w:szCs w:val="32"/>
          <w:highlight w:val="none"/>
        </w:rPr>
      </w:pPr>
    </w:p>
    <w:p w14:paraId="294EDC1F">
      <w:pPr>
        <w:jc w:val="center"/>
        <w:rPr>
          <w:rFonts w:hint="eastAsia" w:ascii="仿宋" w:hAnsi="仿宋" w:eastAsia="仿宋" w:cs="仿宋"/>
          <w:bCs/>
          <w:color w:val="auto"/>
          <w:sz w:val="24"/>
          <w:highlight w:val="none"/>
        </w:rPr>
      </w:pPr>
      <w:r>
        <w:rPr>
          <w:rFonts w:hint="eastAsia" w:ascii="仿宋" w:hAnsi="仿宋" w:eastAsia="仿宋" w:cs="仿宋"/>
          <w:color w:val="auto"/>
          <w:highlight w:val="none"/>
        </w:rPr>
        <w:br w:type="page" w:clear="all"/>
      </w:r>
    </w:p>
    <w:p w14:paraId="76712684">
      <w:pPr>
        <w:keepNext w:val="0"/>
        <w:numPr>
          <w:ilvl w:val="0"/>
          <w:numId w:val="1"/>
        </w:numPr>
        <w:spacing w:before="120" w:after="120"/>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分项报价表</w:t>
      </w:r>
    </w:p>
    <w:p w14:paraId="37C613AF">
      <w:pPr>
        <w:keepNext w:val="0"/>
        <w:numPr>
          <w:ilvl w:val="0"/>
          <w:numId w:val="0"/>
        </w:numPr>
        <w:spacing w:before="120" w:after="12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分项报价表</w:t>
      </w:r>
    </w:p>
    <w:tbl>
      <w:tblPr>
        <w:tblStyle w:val="2"/>
        <w:tblW w:w="89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1407"/>
        <w:gridCol w:w="2266"/>
        <w:gridCol w:w="1134"/>
        <w:gridCol w:w="992"/>
        <w:gridCol w:w="1541"/>
        <w:gridCol w:w="991"/>
      </w:tblGrid>
      <w:tr w14:paraId="0DD63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trPr>
        <w:tc>
          <w:tcPr>
            <w:tcW w:w="654" w:type="dxa"/>
            <w:noWrap w:val="0"/>
            <w:vAlign w:val="center"/>
          </w:tcPr>
          <w:p w14:paraId="63937879">
            <w:pPr>
              <w:pStyle w:val="5"/>
              <w:widowControl/>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673" w:type="dxa"/>
            <w:gridSpan w:val="2"/>
            <w:noWrap w:val="0"/>
            <w:vAlign w:val="center"/>
          </w:tcPr>
          <w:p w14:paraId="39482B96">
            <w:pPr>
              <w:pStyle w:val="5"/>
              <w:widowControl/>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服务费用简述</w:t>
            </w:r>
          </w:p>
        </w:tc>
        <w:tc>
          <w:tcPr>
            <w:tcW w:w="1134" w:type="dxa"/>
            <w:noWrap w:val="0"/>
            <w:vAlign w:val="center"/>
          </w:tcPr>
          <w:p w14:paraId="31CC7041">
            <w:pPr>
              <w:pStyle w:val="5"/>
              <w:widowControl/>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单价</w:t>
            </w:r>
          </w:p>
          <w:p w14:paraId="014DE1CC">
            <w:pPr>
              <w:pStyle w:val="5"/>
              <w:widowControl/>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c>
          <w:tcPr>
            <w:tcW w:w="992" w:type="dxa"/>
            <w:noWrap w:val="0"/>
            <w:vAlign w:val="center"/>
          </w:tcPr>
          <w:p w14:paraId="475DBB0A">
            <w:pPr>
              <w:pStyle w:val="5"/>
              <w:widowControl/>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1541" w:type="dxa"/>
            <w:noWrap w:val="0"/>
            <w:vAlign w:val="center"/>
          </w:tcPr>
          <w:p w14:paraId="3DEE93E6">
            <w:pPr>
              <w:pStyle w:val="5"/>
              <w:widowControl/>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合价</w:t>
            </w:r>
          </w:p>
          <w:p w14:paraId="011D1743">
            <w:pPr>
              <w:pStyle w:val="5"/>
              <w:widowControl/>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c>
          <w:tcPr>
            <w:tcW w:w="991" w:type="dxa"/>
            <w:noWrap w:val="0"/>
            <w:vAlign w:val="center"/>
          </w:tcPr>
          <w:p w14:paraId="02012080">
            <w:pPr>
              <w:pStyle w:val="5"/>
              <w:widowControl/>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0BC94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2" w:hRule="atLeast"/>
        </w:trPr>
        <w:tc>
          <w:tcPr>
            <w:tcW w:w="654" w:type="dxa"/>
            <w:noWrap w:val="0"/>
            <w:vAlign w:val="top"/>
          </w:tcPr>
          <w:p w14:paraId="79BF7D68">
            <w:pPr>
              <w:pStyle w:val="5"/>
              <w:widowControl/>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673" w:type="dxa"/>
            <w:gridSpan w:val="2"/>
            <w:noWrap w:val="0"/>
            <w:vAlign w:val="top"/>
          </w:tcPr>
          <w:p w14:paraId="6D7A8923">
            <w:pPr>
              <w:pStyle w:val="5"/>
              <w:widowControl/>
              <w:spacing w:line="560" w:lineRule="exact"/>
              <w:jc w:val="center"/>
              <w:rPr>
                <w:rFonts w:hint="eastAsia" w:ascii="仿宋" w:hAnsi="仿宋" w:eastAsia="仿宋" w:cs="仿宋"/>
                <w:color w:val="auto"/>
                <w:sz w:val="28"/>
                <w:szCs w:val="28"/>
                <w:highlight w:val="none"/>
              </w:rPr>
            </w:pPr>
          </w:p>
        </w:tc>
        <w:tc>
          <w:tcPr>
            <w:tcW w:w="1134" w:type="dxa"/>
            <w:noWrap w:val="0"/>
            <w:vAlign w:val="center"/>
          </w:tcPr>
          <w:p w14:paraId="3FD271ED">
            <w:pPr>
              <w:pStyle w:val="5"/>
              <w:spacing w:line="560" w:lineRule="exact"/>
              <w:jc w:val="center"/>
              <w:rPr>
                <w:rFonts w:hint="eastAsia" w:ascii="仿宋" w:hAnsi="仿宋" w:eastAsia="仿宋" w:cs="仿宋"/>
                <w:color w:val="auto"/>
                <w:sz w:val="28"/>
                <w:szCs w:val="28"/>
                <w:highlight w:val="none"/>
              </w:rPr>
            </w:pPr>
          </w:p>
        </w:tc>
        <w:tc>
          <w:tcPr>
            <w:tcW w:w="992" w:type="dxa"/>
            <w:noWrap w:val="0"/>
            <w:vAlign w:val="top"/>
          </w:tcPr>
          <w:p w14:paraId="705A211E">
            <w:pPr>
              <w:pStyle w:val="5"/>
              <w:widowControl/>
              <w:spacing w:line="560" w:lineRule="exact"/>
              <w:jc w:val="center"/>
              <w:rPr>
                <w:rFonts w:hint="eastAsia" w:ascii="仿宋" w:hAnsi="仿宋" w:eastAsia="仿宋" w:cs="仿宋"/>
                <w:color w:val="auto"/>
                <w:sz w:val="28"/>
                <w:szCs w:val="28"/>
                <w:highlight w:val="none"/>
              </w:rPr>
            </w:pPr>
          </w:p>
        </w:tc>
        <w:tc>
          <w:tcPr>
            <w:tcW w:w="1541" w:type="dxa"/>
            <w:noWrap w:val="0"/>
            <w:vAlign w:val="center"/>
          </w:tcPr>
          <w:p w14:paraId="51ABBF69">
            <w:pPr>
              <w:pStyle w:val="5"/>
              <w:spacing w:line="560" w:lineRule="exact"/>
              <w:jc w:val="center"/>
              <w:rPr>
                <w:rFonts w:hint="eastAsia" w:ascii="仿宋" w:hAnsi="仿宋" w:eastAsia="仿宋" w:cs="仿宋"/>
                <w:color w:val="auto"/>
                <w:sz w:val="28"/>
                <w:szCs w:val="28"/>
                <w:highlight w:val="none"/>
              </w:rPr>
            </w:pPr>
          </w:p>
        </w:tc>
        <w:tc>
          <w:tcPr>
            <w:tcW w:w="991" w:type="dxa"/>
            <w:noWrap w:val="0"/>
            <w:vAlign w:val="center"/>
          </w:tcPr>
          <w:p w14:paraId="30178879">
            <w:pPr>
              <w:pStyle w:val="5"/>
              <w:spacing w:line="560" w:lineRule="exact"/>
              <w:jc w:val="center"/>
              <w:rPr>
                <w:rFonts w:hint="eastAsia" w:ascii="仿宋" w:hAnsi="仿宋" w:eastAsia="仿宋" w:cs="仿宋"/>
                <w:color w:val="auto"/>
                <w:sz w:val="28"/>
                <w:szCs w:val="28"/>
                <w:highlight w:val="none"/>
              </w:rPr>
            </w:pPr>
          </w:p>
        </w:tc>
      </w:tr>
      <w:tr w14:paraId="2F19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6" w:hRule="atLeast"/>
        </w:trPr>
        <w:tc>
          <w:tcPr>
            <w:tcW w:w="654" w:type="dxa"/>
            <w:noWrap w:val="0"/>
            <w:vAlign w:val="top"/>
          </w:tcPr>
          <w:p w14:paraId="5C939361">
            <w:pPr>
              <w:pStyle w:val="5"/>
              <w:widowControl/>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3673" w:type="dxa"/>
            <w:gridSpan w:val="2"/>
            <w:noWrap w:val="0"/>
            <w:vAlign w:val="top"/>
          </w:tcPr>
          <w:p w14:paraId="7E9B155C">
            <w:pPr>
              <w:pStyle w:val="5"/>
              <w:widowControl/>
              <w:spacing w:line="560" w:lineRule="exact"/>
              <w:jc w:val="center"/>
              <w:rPr>
                <w:rFonts w:hint="eastAsia" w:ascii="仿宋" w:hAnsi="仿宋" w:eastAsia="仿宋" w:cs="仿宋"/>
                <w:color w:val="auto"/>
                <w:sz w:val="28"/>
                <w:szCs w:val="28"/>
                <w:highlight w:val="none"/>
              </w:rPr>
            </w:pPr>
          </w:p>
        </w:tc>
        <w:tc>
          <w:tcPr>
            <w:tcW w:w="1134" w:type="dxa"/>
            <w:noWrap w:val="0"/>
            <w:vAlign w:val="center"/>
          </w:tcPr>
          <w:p w14:paraId="2185A688">
            <w:pPr>
              <w:pStyle w:val="5"/>
              <w:spacing w:line="560" w:lineRule="exact"/>
              <w:jc w:val="center"/>
              <w:rPr>
                <w:rFonts w:hint="eastAsia" w:ascii="仿宋" w:hAnsi="仿宋" w:eastAsia="仿宋" w:cs="仿宋"/>
                <w:color w:val="auto"/>
                <w:sz w:val="28"/>
                <w:szCs w:val="28"/>
                <w:highlight w:val="none"/>
              </w:rPr>
            </w:pPr>
          </w:p>
        </w:tc>
        <w:tc>
          <w:tcPr>
            <w:tcW w:w="992" w:type="dxa"/>
            <w:noWrap w:val="0"/>
            <w:vAlign w:val="top"/>
          </w:tcPr>
          <w:p w14:paraId="13125C0D">
            <w:pPr>
              <w:pStyle w:val="5"/>
              <w:widowControl/>
              <w:spacing w:line="560" w:lineRule="exact"/>
              <w:jc w:val="center"/>
              <w:rPr>
                <w:rFonts w:hint="eastAsia" w:ascii="仿宋" w:hAnsi="仿宋" w:eastAsia="仿宋" w:cs="仿宋"/>
                <w:color w:val="auto"/>
                <w:sz w:val="28"/>
                <w:szCs w:val="28"/>
                <w:highlight w:val="none"/>
              </w:rPr>
            </w:pPr>
          </w:p>
        </w:tc>
        <w:tc>
          <w:tcPr>
            <w:tcW w:w="1541" w:type="dxa"/>
            <w:noWrap w:val="0"/>
            <w:vAlign w:val="center"/>
          </w:tcPr>
          <w:p w14:paraId="0CD98021">
            <w:pPr>
              <w:pStyle w:val="5"/>
              <w:spacing w:line="560" w:lineRule="exact"/>
              <w:jc w:val="center"/>
              <w:rPr>
                <w:rFonts w:hint="eastAsia" w:ascii="仿宋" w:hAnsi="仿宋" w:eastAsia="仿宋" w:cs="仿宋"/>
                <w:color w:val="auto"/>
                <w:sz w:val="28"/>
                <w:szCs w:val="28"/>
                <w:highlight w:val="none"/>
              </w:rPr>
            </w:pPr>
          </w:p>
        </w:tc>
        <w:tc>
          <w:tcPr>
            <w:tcW w:w="991" w:type="dxa"/>
            <w:noWrap w:val="0"/>
            <w:vAlign w:val="center"/>
          </w:tcPr>
          <w:p w14:paraId="5D2CB5A4">
            <w:pPr>
              <w:pStyle w:val="5"/>
              <w:spacing w:line="560" w:lineRule="exact"/>
              <w:jc w:val="center"/>
              <w:rPr>
                <w:rFonts w:hint="eastAsia" w:ascii="仿宋" w:hAnsi="仿宋" w:eastAsia="仿宋" w:cs="仿宋"/>
                <w:color w:val="auto"/>
                <w:sz w:val="28"/>
                <w:szCs w:val="28"/>
                <w:highlight w:val="none"/>
              </w:rPr>
            </w:pPr>
          </w:p>
        </w:tc>
      </w:tr>
      <w:tr w14:paraId="3A813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0" w:hRule="atLeast"/>
        </w:trPr>
        <w:tc>
          <w:tcPr>
            <w:tcW w:w="654" w:type="dxa"/>
            <w:noWrap w:val="0"/>
            <w:vAlign w:val="top"/>
          </w:tcPr>
          <w:p w14:paraId="2C7DAAB2">
            <w:pPr>
              <w:pStyle w:val="5"/>
              <w:widowControl/>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3673" w:type="dxa"/>
            <w:gridSpan w:val="2"/>
            <w:noWrap w:val="0"/>
            <w:vAlign w:val="top"/>
          </w:tcPr>
          <w:p w14:paraId="460EDA03">
            <w:pPr>
              <w:pStyle w:val="5"/>
              <w:widowControl/>
              <w:spacing w:line="560" w:lineRule="exact"/>
              <w:jc w:val="center"/>
              <w:rPr>
                <w:rFonts w:hint="eastAsia" w:ascii="仿宋" w:hAnsi="仿宋" w:eastAsia="仿宋" w:cs="仿宋"/>
                <w:color w:val="auto"/>
                <w:sz w:val="28"/>
                <w:szCs w:val="28"/>
                <w:highlight w:val="none"/>
              </w:rPr>
            </w:pPr>
          </w:p>
        </w:tc>
        <w:tc>
          <w:tcPr>
            <w:tcW w:w="1134" w:type="dxa"/>
            <w:noWrap w:val="0"/>
            <w:vAlign w:val="center"/>
          </w:tcPr>
          <w:p w14:paraId="000B1550">
            <w:pPr>
              <w:pStyle w:val="5"/>
              <w:spacing w:line="560" w:lineRule="exact"/>
              <w:jc w:val="center"/>
              <w:rPr>
                <w:rFonts w:hint="eastAsia" w:ascii="仿宋" w:hAnsi="仿宋" w:eastAsia="仿宋" w:cs="仿宋"/>
                <w:color w:val="auto"/>
                <w:sz w:val="28"/>
                <w:szCs w:val="28"/>
                <w:highlight w:val="none"/>
              </w:rPr>
            </w:pPr>
          </w:p>
        </w:tc>
        <w:tc>
          <w:tcPr>
            <w:tcW w:w="992" w:type="dxa"/>
            <w:noWrap w:val="0"/>
            <w:vAlign w:val="top"/>
          </w:tcPr>
          <w:p w14:paraId="2D7F9303">
            <w:pPr>
              <w:pStyle w:val="5"/>
              <w:widowControl/>
              <w:spacing w:line="560" w:lineRule="exact"/>
              <w:jc w:val="center"/>
              <w:rPr>
                <w:rFonts w:hint="eastAsia" w:ascii="仿宋" w:hAnsi="仿宋" w:eastAsia="仿宋" w:cs="仿宋"/>
                <w:color w:val="auto"/>
                <w:sz w:val="28"/>
                <w:szCs w:val="28"/>
                <w:highlight w:val="none"/>
              </w:rPr>
            </w:pPr>
          </w:p>
        </w:tc>
        <w:tc>
          <w:tcPr>
            <w:tcW w:w="1541" w:type="dxa"/>
            <w:noWrap w:val="0"/>
            <w:vAlign w:val="center"/>
          </w:tcPr>
          <w:p w14:paraId="4E57AAE1">
            <w:pPr>
              <w:pStyle w:val="5"/>
              <w:spacing w:line="560" w:lineRule="exact"/>
              <w:jc w:val="center"/>
              <w:rPr>
                <w:rFonts w:hint="eastAsia" w:ascii="仿宋" w:hAnsi="仿宋" w:eastAsia="仿宋" w:cs="仿宋"/>
                <w:color w:val="auto"/>
                <w:sz w:val="28"/>
                <w:szCs w:val="28"/>
                <w:highlight w:val="none"/>
              </w:rPr>
            </w:pPr>
          </w:p>
        </w:tc>
        <w:tc>
          <w:tcPr>
            <w:tcW w:w="991" w:type="dxa"/>
            <w:noWrap w:val="0"/>
            <w:vAlign w:val="center"/>
          </w:tcPr>
          <w:p w14:paraId="05FA47E3">
            <w:pPr>
              <w:pStyle w:val="5"/>
              <w:spacing w:line="560" w:lineRule="exact"/>
              <w:jc w:val="center"/>
              <w:rPr>
                <w:rFonts w:hint="eastAsia" w:ascii="仿宋" w:hAnsi="仿宋" w:eastAsia="仿宋" w:cs="仿宋"/>
                <w:color w:val="auto"/>
                <w:sz w:val="28"/>
                <w:szCs w:val="28"/>
                <w:highlight w:val="none"/>
              </w:rPr>
            </w:pPr>
          </w:p>
        </w:tc>
      </w:tr>
      <w:tr w14:paraId="61FAF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0" w:hRule="atLeast"/>
        </w:trPr>
        <w:tc>
          <w:tcPr>
            <w:tcW w:w="654" w:type="dxa"/>
            <w:noWrap w:val="0"/>
            <w:vAlign w:val="top"/>
          </w:tcPr>
          <w:p w14:paraId="57126058">
            <w:pPr>
              <w:pStyle w:val="5"/>
              <w:widowControl/>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3673" w:type="dxa"/>
            <w:gridSpan w:val="2"/>
            <w:noWrap w:val="0"/>
            <w:vAlign w:val="top"/>
          </w:tcPr>
          <w:p w14:paraId="56C64808">
            <w:pPr>
              <w:pStyle w:val="5"/>
              <w:widowControl/>
              <w:spacing w:line="560" w:lineRule="exact"/>
              <w:jc w:val="center"/>
              <w:rPr>
                <w:rFonts w:hint="eastAsia" w:ascii="仿宋" w:hAnsi="仿宋" w:eastAsia="仿宋" w:cs="仿宋"/>
                <w:color w:val="auto"/>
                <w:sz w:val="28"/>
                <w:szCs w:val="28"/>
                <w:highlight w:val="none"/>
              </w:rPr>
            </w:pPr>
          </w:p>
        </w:tc>
        <w:tc>
          <w:tcPr>
            <w:tcW w:w="1134" w:type="dxa"/>
            <w:noWrap w:val="0"/>
            <w:vAlign w:val="center"/>
          </w:tcPr>
          <w:p w14:paraId="770F0B02">
            <w:pPr>
              <w:pStyle w:val="5"/>
              <w:spacing w:line="560" w:lineRule="exact"/>
              <w:jc w:val="center"/>
              <w:rPr>
                <w:rFonts w:hint="eastAsia" w:ascii="仿宋" w:hAnsi="仿宋" w:eastAsia="仿宋" w:cs="仿宋"/>
                <w:color w:val="auto"/>
                <w:sz w:val="28"/>
                <w:szCs w:val="28"/>
                <w:highlight w:val="none"/>
              </w:rPr>
            </w:pPr>
          </w:p>
        </w:tc>
        <w:tc>
          <w:tcPr>
            <w:tcW w:w="992" w:type="dxa"/>
            <w:noWrap w:val="0"/>
            <w:vAlign w:val="top"/>
          </w:tcPr>
          <w:p w14:paraId="47F08ADE">
            <w:pPr>
              <w:pStyle w:val="5"/>
              <w:widowControl/>
              <w:spacing w:line="560" w:lineRule="exact"/>
              <w:jc w:val="center"/>
              <w:rPr>
                <w:rFonts w:hint="eastAsia" w:ascii="仿宋" w:hAnsi="仿宋" w:eastAsia="仿宋" w:cs="仿宋"/>
                <w:color w:val="auto"/>
                <w:sz w:val="28"/>
                <w:szCs w:val="28"/>
                <w:highlight w:val="none"/>
              </w:rPr>
            </w:pPr>
          </w:p>
        </w:tc>
        <w:tc>
          <w:tcPr>
            <w:tcW w:w="1541" w:type="dxa"/>
            <w:noWrap w:val="0"/>
            <w:vAlign w:val="center"/>
          </w:tcPr>
          <w:p w14:paraId="5903F210">
            <w:pPr>
              <w:pStyle w:val="5"/>
              <w:spacing w:line="560" w:lineRule="exact"/>
              <w:jc w:val="center"/>
              <w:rPr>
                <w:rFonts w:hint="eastAsia" w:ascii="仿宋" w:hAnsi="仿宋" w:eastAsia="仿宋" w:cs="仿宋"/>
                <w:color w:val="auto"/>
                <w:sz w:val="28"/>
                <w:szCs w:val="28"/>
                <w:highlight w:val="none"/>
              </w:rPr>
            </w:pPr>
          </w:p>
        </w:tc>
        <w:tc>
          <w:tcPr>
            <w:tcW w:w="991" w:type="dxa"/>
            <w:noWrap w:val="0"/>
            <w:vAlign w:val="center"/>
          </w:tcPr>
          <w:p w14:paraId="0CAC9C71">
            <w:pPr>
              <w:pStyle w:val="5"/>
              <w:spacing w:line="560" w:lineRule="exact"/>
              <w:jc w:val="center"/>
              <w:rPr>
                <w:rFonts w:hint="eastAsia" w:ascii="仿宋" w:hAnsi="仿宋" w:eastAsia="仿宋" w:cs="仿宋"/>
                <w:color w:val="auto"/>
                <w:sz w:val="28"/>
                <w:szCs w:val="28"/>
                <w:highlight w:val="none"/>
              </w:rPr>
            </w:pPr>
          </w:p>
        </w:tc>
      </w:tr>
      <w:tr w14:paraId="5B045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0" w:hRule="atLeast"/>
        </w:trPr>
        <w:tc>
          <w:tcPr>
            <w:tcW w:w="654" w:type="dxa"/>
            <w:noWrap w:val="0"/>
            <w:vAlign w:val="top"/>
          </w:tcPr>
          <w:p w14:paraId="12392F03">
            <w:pPr>
              <w:pStyle w:val="5"/>
              <w:widowControl/>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3673" w:type="dxa"/>
            <w:gridSpan w:val="2"/>
            <w:noWrap w:val="0"/>
            <w:vAlign w:val="top"/>
          </w:tcPr>
          <w:p w14:paraId="1E15FFF1">
            <w:pPr>
              <w:pStyle w:val="5"/>
              <w:widowControl/>
              <w:spacing w:line="560" w:lineRule="exact"/>
              <w:jc w:val="center"/>
              <w:rPr>
                <w:rFonts w:hint="eastAsia" w:ascii="仿宋" w:hAnsi="仿宋" w:eastAsia="仿宋" w:cs="仿宋"/>
                <w:color w:val="auto"/>
                <w:sz w:val="28"/>
                <w:szCs w:val="28"/>
                <w:highlight w:val="none"/>
              </w:rPr>
            </w:pPr>
          </w:p>
        </w:tc>
        <w:tc>
          <w:tcPr>
            <w:tcW w:w="1134" w:type="dxa"/>
            <w:noWrap w:val="0"/>
            <w:vAlign w:val="center"/>
          </w:tcPr>
          <w:p w14:paraId="0BBD4AF0">
            <w:pPr>
              <w:pStyle w:val="5"/>
              <w:spacing w:line="560" w:lineRule="exact"/>
              <w:jc w:val="center"/>
              <w:rPr>
                <w:rFonts w:hint="eastAsia" w:ascii="仿宋" w:hAnsi="仿宋" w:eastAsia="仿宋" w:cs="仿宋"/>
                <w:color w:val="auto"/>
                <w:sz w:val="28"/>
                <w:szCs w:val="28"/>
                <w:highlight w:val="none"/>
              </w:rPr>
            </w:pPr>
          </w:p>
        </w:tc>
        <w:tc>
          <w:tcPr>
            <w:tcW w:w="992" w:type="dxa"/>
            <w:noWrap w:val="0"/>
            <w:vAlign w:val="top"/>
          </w:tcPr>
          <w:p w14:paraId="34C2BD22">
            <w:pPr>
              <w:pStyle w:val="5"/>
              <w:widowControl/>
              <w:spacing w:line="560" w:lineRule="exact"/>
              <w:jc w:val="center"/>
              <w:rPr>
                <w:rFonts w:hint="eastAsia" w:ascii="仿宋" w:hAnsi="仿宋" w:eastAsia="仿宋" w:cs="仿宋"/>
                <w:color w:val="auto"/>
                <w:sz w:val="28"/>
                <w:szCs w:val="28"/>
                <w:highlight w:val="none"/>
              </w:rPr>
            </w:pPr>
          </w:p>
        </w:tc>
        <w:tc>
          <w:tcPr>
            <w:tcW w:w="1541" w:type="dxa"/>
            <w:noWrap w:val="0"/>
            <w:vAlign w:val="center"/>
          </w:tcPr>
          <w:p w14:paraId="4B5D764A">
            <w:pPr>
              <w:pStyle w:val="5"/>
              <w:spacing w:line="560" w:lineRule="exact"/>
              <w:jc w:val="center"/>
              <w:rPr>
                <w:rFonts w:hint="eastAsia" w:ascii="仿宋" w:hAnsi="仿宋" w:eastAsia="仿宋" w:cs="仿宋"/>
                <w:color w:val="auto"/>
                <w:sz w:val="28"/>
                <w:szCs w:val="28"/>
                <w:highlight w:val="none"/>
              </w:rPr>
            </w:pPr>
          </w:p>
        </w:tc>
        <w:tc>
          <w:tcPr>
            <w:tcW w:w="991" w:type="dxa"/>
            <w:noWrap w:val="0"/>
            <w:vAlign w:val="center"/>
          </w:tcPr>
          <w:p w14:paraId="33398B5B">
            <w:pPr>
              <w:pStyle w:val="5"/>
              <w:spacing w:line="560" w:lineRule="exact"/>
              <w:jc w:val="center"/>
              <w:rPr>
                <w:rFonts w:hint="eastAsia" w:ascii="仿宋" w:hAnsi="仿宋" w:eastAsia="仿宋" w:cs="仿宋"/>
                <w:color w:val="auto"/>
                <w:sz w:val="28"/>
                <w:szCs w:val="28"/>
                <w:highlight w:val="none"/>
              </w:rPr>
            </w:pPr>
          </w:p>
        </w:tc>
      </w:tr>
      <w:tr w14:paraId="1DDFD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W w:w="654" w:type="dxa"/>
            <w:noWrap w:val="0"/>
            <w:vAlign w:val="top"/>
          </w:tcPr>
          <w:p w14:paraId="042EE7A0">
            <w:pPr>
              <w:pStyle w:val="5"/>
              <w:widowControl/>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3673" w:type="dxa"/>
            <w:gridSpan w:val="2"/>
            <w:noWrap w:val="0"/>
            <w:vAlign w:val="top"/>
          </w:tcPr>
          <w:p w14:paraId="7CBEC145">
            <w:pPr>
              <w:pStyle w:val="5"/>
              <w:widowControl/>
              <w:spacing w:line="560" w:lineRule="exact"/>
              <w:jc w:val="center"/>
              <w:rPr>
                <w:rFonts w:hint="eastAsia" w:ascii="仿宋" w:hAnsi="仿宋" w:eastAsia="仿宋" w:cs="仿宋"/>
                <w:color w:val="auto"/>
                <w:sz w:val="28"/>
                <w:szCs w:val="28"/>
                <w:highlight w:val="none"/>
              </w:rPr>
            </w:pPr>
          </w:p>
        </w:tc>
        <w:tc>
          <w:tcPr>
            <w:tcW w:w="1134" w:type="dxa"/>
            <w:noWrap w:val="0"/>
            <w:vAlign w:val="center"/>
          </w:tcPr>
          <w:p w14:paraId="3B724324">
            <w:pPr>
              <w:pStyle w:val="5"/>
              <w:spacing w:line="560" w:lineRule="exact"/>
              <w:jc w:val="center"/>
              <w:rPr>
                <w:rFonts w:hint="eastAsia" w:ascii="仿宋" w:hAnsi="仿宋" w:eastAsia="仿宋" w:cs="仿宋"/>
                <w:color w:val="auto"/>
                <w:sz w:val="28"/>
                <w:szCs w:val="28"/>
                <w:highlight w:val="none"/>
              </w:rPr>
            </w:pPr>
          </w:p>
        </w:tc>
        <w:tc>
          <w:tcPr>
            <w:tcW w:w="992" w:type="dxa"/>
            <w:noWrap w:val="0"/>
            <w:vAlign w:val="top"/>
          </w:tcPr>
          <w:p w14:paraId="3D8FC409">
            <w:pPr>
              <w:pStyle w:val="5"/>
              <w:widowControl/>
              <w:spacing w:line="560" w:lineRule="exact"/>
              <w:jc w:val="center"/>
              <w:rPr>
                <w:rFonts w:hint="eastAsia" w:ascii="仿宋" w:hAnsi="仿宋" w:eastAsia="仿宋" w:cs="仿宋"/>
                <w:color w:val="auto"/>
                <w:sz w:val="28"/>
                <w:szCs w:val="28"/>
                <w:highlight w:val="none"/>
              </w:rPr>
            </w:pPr>
          </w:p>
        </w:tc>
        <w:tc>
          <w:tcPr>
            <w:tcW w:w="1541" w:type="dxa"/>
            <w:noWrap w:val="0"/>
            <w:vAlign w:val="center"/>
          </w:tcPr>
          <w:p w14:paraId="0F9F0D9F">
            <w:pPr>
              <w:pStyle w:val="5"/>
              <w:spacing w:line="560" w:lineRule="exact"/>
              <w:jc w:val="center"/>
              <w:rPr>
                <w:rFonts w:hint="eastAsia" w:ascii="仿宋" w:hAnsi="仿宋" w:eastAsia="仿宋" w:cs="仿宋"/>
                <w:color w:val="auto"/>
                <w:sz w:val="28"/>
                <w:szCs w:val="28"/>
                <w:highlight w:val="none"/>
              </w:rPr>
            </w:pPr>
          </w:p>
        </w:tc>
        <w:tc>
          <w:tcPr>
            <w:tcW w:w="991" w:type="dxa"/>
            <w:noWrap w:val="0"/>
            <w:vAlign w:val="center"/>
          </w:tcPr>
          <w:p w14:paraId="43C68F7A">
            <w:pPr>
              <w:pStyle w:val="5"/>
              <w:spacing w:line="560" w:lineRule="exact"/>
              <w:jc w:val="center"/>
              <w:rPr>
                <w:rFonts w:hint="eastAsia" w:ascii="仿宋" w:hAnsi="仿宋" w:eastAsia="仿宋" w:cs="仿宋"/>
                <w:color w:val="auto"/>
                <w:sz w:val="28"/>
                <w:szCs w:val="28"/>
                <w:highlight w:val="none"/>
              </w:rPr>
            </w:pPr>
          </w:p>
        </w:tc>
      </w:tr>
      <w:tr w14:paraId="02DBE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6" w:hRule="atLeast"/>
        </w:trPr>
        <w:tc>
          <w:tcPr>
            <w:tcW w:w="2061" w:type="dxa"/>
            <w:gridSpan w:val="2"/>
            <w:noWrap w:val="0"/>
            <w:vAlign w:val="center"/>
          </w:tcPr>
          <w:p w14:paraId="3BB6105F">
            <w:pPr>
              <w:pStyle w:val="5"/>
              <w:spacing w:line="5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投标总报价</w:t>
            </w:r>
          </w:p>
        </w:tc>
        <w:tc>
          <w:tcPr>
            <w:tcW w:w="6924" w:type="dxa"/>
            <w:gridSpan w:val="5"/>
            <w:noWrap w:val="0"/>
            <w:vAlign w:val="center"/>
          </w:tcPr>
          <w:p w14:paraId="00D7BC56">
            <w:pPr>
              <w:pStyle w:val="5"/>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154A6F8C">
            <w:pPr>
              <w:pStyle w:val="5"/>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佰</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拾</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 xml:space="preserve"> 万</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仟</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佰</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拾</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元</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角</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分</w:t>
            </w:r>
          </w:p>
        </w:tc>
      </w:tr>
    </w:tbl>
    <w:p w14:paraId="4DA569A9">
      <w:pPr>
        <w:pStyle w:val="6"/>
        <w:rPr>
          <w:rFonts w:ascii="宋体" w:hAnsi="宋体"/>
          <w:color w:val="auto"/>
          <w:sz w:val="24"/>
          <w:highlight w:val="none"/>
        </w:rPr>
      </w:pPr>
    </w:p>
    <w:p w14:paraId="037DD4AB">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备注：“投标总报价”数额应当与“开标一览表”中“投标总报价”数额一致。</w:t>
      </w:r>
    </w:p>
    <w:p w14:paraId="7D669A97">
      <w:pPr>
        <w:keepNext w:val="0"/>
        <w:spacing w:before="120" w:after="120"/>
        <w:jc w:val="left"/>
        <w:rPr>
          <w:rFonts w:hint="eastAsia" w:ascii="仿宋" w:hAnsi="仿宋" w:eastAsia="仿宋" w:cs="仿宋"/>
          <w:color w:val="auto"/>
          <w:sz w:val="32"/>
          <w:szCs w:val="32"/>
          <w:highlight w:val="none"/>
        </w:rPr>
      </w:pPr>
      <w:r>
        <w:rPr>
          <w:rFonts w:hint="eastAsia" w:ascii="仿宋" w:hAnsi="仿宋" w:eastAsia="仿宋" w:cs="仿宋"/>
          <w:strike/>
          <w:color w:val="auto"/>
          <w:sz w:val="32"/>
          <w:szCs w:val="32"/>
          <w:highlight w:val="none"/>
        </w:rPr>
        <w:br w:type="page" w:clear="all"/>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、中小企业或残疾人福利性单位声明函</w:t>
      </w:r>
    </w:p>
    <w:p w14:paraId="3B1818B3">
      <w:pPr>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中小微企业声明函</w:t>
      </w:r>
    </w:p>
    <w:p w14:paraId="0A2F4C65">
      <w:pPr>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（服务类项目）</w:t>
      </w:r>
    </w:p>
    <w:p w14:paraId="706E327D">
      <w:pPr>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lang w:eastAsia="zh-CN"/>
        </w:rPr>
        <w:t>宿迁市自然资源和规划局</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eastAsia="zh-CN"/>
        </w:rPr>
        <w:t>宿迁市申报国际湿地城市认证技术服务项目</w:t>
      </w:r>
      <w:r>
        <w:rPr>
          <w:rFonts w:hint="eastAsia" w:ascii="仿宋" w:hAnsi="仿宋" w:eastAsia="仿宋" w:cs="仿宋"/>
          <w:color w:val="auto"/>
          <w:sz w:val="24"/>
          <w:szCs w:val="24"/>
          <w:highlight w:val="none"/>
        </w:rPr>
        <w:t>采购活动，服务全部由符合政策的中小微企业承接。相关企业（含联合体中的中小微企业、签订采购包意向协议的中小微企业）的具体情况如下：</w:t>
      </w:r>
    </w:p>
    <w:p w14:paraId="287B4D36">
      <w:pPr>
        <w:spacing w:line="500" w:lineRule="exact"/>
        <w:ind w:firstLine="480"/>
        <w:rPr>
          <w:rFonts w:hint="eastAsia" w:ascii="仿宋" w:hAnsi="仿宋" w:eastAsia="仿宋" w:cs="仿宋"/>
          <w:i/>
          <w:color w:val="auto"/>
          <w:sz w:val="24"/>
          <w:szCs w:val="24"/>
          <w:highlight w:val="none"/>
          <w:u w:val="singl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（标的名称）</w:t>
      </w:r>
      <w:r>
        <w:rPr>
          <w:rFonts w:hint="eastAsia" w:ascii="仿宋" w:hAnsi="仿宋" w:eastAsia="仿宋" w:cs="仿宋"/>
          <w:i/>
          <w:color w:val="auto"/>
          <w:sz w:val="24"/>
          <w:szCs w:val="24"/>
          <w:highlight w:val="none"/>
        </w:rPr>
        <w:t>，</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（投标人填写招标文件中明确的所属行业）</w:t>
      </w:r>
      <w:r>
        <w:rPr>
          <w:rFonts w:hint="eastAsia" w:ascii="仿宋" w:hAnsi="仿宋" w:eastAsia="仿宋" w:cs="仿宋"/>
          <w:color w:val="auto"/>
          <w:sz w:val="24"/>
          <w:szCs w:val="24"/>
          <w:highlight w:val="none"/>
        </w:rPr>
        <w:t>行业；承接企业为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 □小型企业 □微型企业）；</w:t>
      </w:r>
    </w:p>
    <w:p w14:paraId="395D375C">
      <w:pPr>
        <w:spacing w:line="500" w:lineRule="exact"/>
        <w:ind w:firstLine="480"/>
        <w:rPr>
          <w:rFonts w:hint="eastAsia" w:ascii="仿宋" w:hAnsi="仿宋" w:eastAsia="仿宋" w:cs="仿宋"/>
          <w:i/>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（标的名称）</w:t>
      </w:r>
      <w:r>
        <w:rPr>
          <w:rFonts w:hint="eastAsia" w:ascii="仿宋" w:hAnsi="仿宋" w:eastAsia="仿宋" w:cs="仿宋"/>
          <w:i/>
          <w:color w:val="auto"/>
          <w:sz w:val="24"/>
          <w:szCs w:val="24"/>
          <w:highlight w:val="none"/>
        </w:rPr>
        <w:t>，</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（投标人填写招标文件中明确的所属行业）</w:t>
      </w:r>
      <w:r>
        <w:rPr>
          <w:rFonts w:hint="eastAsia" w:ascii="仿宋" w:hAnsi="仿宋" w:eastAsia="仿宋" w:cs="仿宋"/>
          <w:color w:val="auto"/>
          <w:sz w:val="24"/>
          <w:szCs w:val="24"/>
          <w:highlight w:val="none"/>
        </w:rPr>
        <w:t>行业；承接企业为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 □小型企业 □微型企业）；</w:t>
      </w:r>
    </w:p>
    <w:p w14:paraId="73094BF6">
      <w:pPr>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033D612">
      <w:pPr>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58F77B12">
      <w:pPr>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5B4C862C">
      <w:pPr>
        <w:spacing w:line="500" w:lineRule="exact"/>
        <w:ind w:firstLine="480"/>
        <w:rPr>
          <w:rFonts w:hint="eastAsia" w:ascii="仿宋" w:hAnsi="仿宋" w:eastAsia="仿宋" w:cs="仿宋"/>
          <w:color w:val="auto"/>
          <w:sz w:val="24"/>
          <w:szCs w:val="24"/>
          <w:highlight w:val="none"/>
        </w:rPr>
      </w:pPr>
    </w:p>
    <w:p w14:paraId="6DAD630D">
      <w:pPr>
        <w:spacing w:line="500" w:lineRule="exact"/>
        <w:ind w:firstLine="48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企业名称（加盖CA电子公章）：</w:t>
      </w:r>
    </w:p>
    <w:p w14:paraId="175EB450">
      <w:pPr>
        <w:spacing w:line="500" w:lineRule="exact"/>
        <w:ind w:firstLine="69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2D0148B7">
      <w:pPr>
        <w:spacing w:line="400" w:lineRule="exact"/>
        <w:ind w:firstLine="240"/>
        <w:rPr>
          <w:rFonts w:hint="eastAsia" w:ascii="仿宋" w:hAnsi="仿宋" w:eastAsia="仿宋" w:cs="仿宋"/>
          <w:color w:val="auto"/>
          <w:sz w:val="24"/>
          <w:szCs w:val="24"/>
          <w:highlight w:val="none"/>
        </w:rPr>
      </w:pPr>
    </w:p>
    <w:p w14:paraId="1EA2EA17">
      <w:pPr>
        <w:spacing w:line="4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备注：1.从业人员、营业收入、资产总额填报上一年度数据，无上一年度数据的新成立企业可不填报。</w:t>
      </w:r>
    </w:p>
    <w:p w14:paraId="04B34409">
      <w:pPr>
        <w:spacing w:line="4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2.符合报价折扣情形的请将此函填报上传至“企业报价折扣证明”一栏中。</w:t>
      </w:r>
    </w:p>
    <w:p w14:paraId="1CF210A1">
      <w:pPr>
        <w:spacing w:line="400" w:lineRule="exact"/>
        <w:ind w:firstLine="480"/>
        <w:rPr>
          <w:rFonts w:hint="eastAsia" w:ascii="仿宋" w:hAnsi="仿宋" w:eastAsia="仿宋" w:cs="仿宋"/>
          <w:color w:val="auto"/>
          <w:sz w:val="22"/>
          <w:szCs w:val="21"/>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.对照《工业和信息化部、国家统计局、国家发展和改革委员会、财政部关于印发中小企业划型标准规定的通知》(工信部联企业[2011]300号)的规定，投标人自行勾选承接企业的企业规模类型。</w:t>
      </w:r>
    </w:p>
    <w:p w14:paraId="2BBE3E0C">
      <w:pPr>
        <w:spacing w:before="151" w:after="151" w:line="600" w:lineRule="exact"/>
        <w:rPr>
          <w:rFonts w:hint="eastAsia" w:ascii="仿宋" w:hAnsi="仿宋" w:eastAsia="仿宋" w:cs="仿宋"/>
          <w:b/>
          <w:bCs/>
          <w:color w:val="auto"/>
          <w:sz w:val="32"/>
          <w:szCs w:val="32"/>
          <w:highlight w:val="none"/>
        </w:rPr>
      </w:pPr>
    </w:p>
    <w:p w14:paraId="67DA7272">
      <w:pPr>
        <w:spacing w:before="151" w:after="151" w:line="600" w:lineRule="exact"/>
        <w:rPr>
          <w:rFonts w:hint="eastAsia" w:ascii="仿宋" w:hAnsi="仿宋" w:eastAsia="仿宋" w:cs="仿宋"/>
          <w:b/>
          <w:bCs/>
          <w:color w:val="auto"/>
          <w:sz w:val="32"/>
          <w:szCs w:val="32"/>
          <w:highlight w:val="none"/>
        </w:rPr>
      </w:pPr>
    </w:p>
    <w:p w14:paraId="376B5277">
      <w:pPr>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残疾人福利性单位声明函</w:t>
      </w:r>
    </w:p>
    <w:p w14:paraId="1A94A267">
      <w:pPr>
        <w:spacing w:line="588" w:lineRule="exact"/>
        <w:rPr>
          <w:rFonts w:hint="eastAsia" w:ascii="仿宋" w:hAnsi="仿宋" w:eastAsia="仿宋" w:cs="仿宋"/>
          <w:b/>
          <w:color w:val="auto"/>
          <w:spacing w:val="6"/>
          <w:sz w:val="30"/>
          <w:szCs w:val="30"/>
          <w:highlight w:val="none"/>
        </w:rPr>
      </w:pPr>
    </w:p>
    <w:p w14:paraId="4F2C076C">
      <w:pPr>
        <w:spacing w:line="5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lang w:eastAsia="zh-CN"/>
        </w:rPr>
        <w:t>宿迁市自然资源和规划局</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lang w:eastAsia="zh-CN"/>
        </w:rPr>
        <w:t>宿迁市申报国际湿地城市认证技术服务项目</w:t>
      </w:r>
      <w:r>
        <w:rPr>
          <w:rFonts w:hint="eastAsia" w:ascii="仿宋" w:hAnsi="仿宋" w:eastAsia="仿宋" w:cs="仿宋"/>
          <w:color w:val="auto"/>
          <w:sz w:val="24"/>
          <w:highlight w:val="none"/>
        </w:rPr>
        <w:t>采购活动提供本单位制造的货物（由本单位承担工程/提供服务），或者提供其他残疾人福利性单位制造的货物（不包括使用非残疾人福利性单位注册商标的货物）。</w:t>
      </w:r>
    </w:p>
    <w:p w14:paraId="67F9B4D6">
      <w:pPr>
        <w:spacing w:line="5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07AD15E9">
      <w:pPr>
        <w:spacing w:line="500" w:lineRule="exact"/>
        <w:ind w:firstLine="3810"/>
        <w:rPr>
          <w:rFonts w:hint="eastAsia" w:ascii="仿宋" w:hAnsi="仿宋" w:eastAsia="仿宋" w:cs="仿宋"/>
          <w:color w:val="auto"/>
          <w:spacing w:val="6"/>
          <w:sz w:val="24"/>
          <w:szCs w:val="24"/>
          <w:highlight w:val="none"/>
        </w:rPr>
      </w:pPr>
    </w:p>
    <w:p w14:paraId="6DE0BECB">
      <w:pPr>
        <w:spacing w:line="500" w:lineRule="exact"/>
        <w:ind w:firstLine="3629"/>
        <w:jc w:val="left"/>
        <w:rPr>
          <w:rFonts w:hint="eastAsia" w:ascii="仿宋" w:hAnsi="仿宋" w:eastAsia="仿宋" w:cs="仿宋"/>
          <w:color w:val="auto"/>
          <w:sz w:val="24"/>
          <w:highlight w:val="none"/>
        </w:rPr>
      </w:pPr>
    </w:p>
    <w:p w14:paraId="14FF6472">
      <w:pPr>
        <w:spacing w:line="500" w:lineRule="exact"/>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盖CA电子公章</w:t>
      </w:r>
      <w:r>
        <w:rPr>
          <w:rFonts w:hint="eastAsia" w:ascii="仿宋" w:hAnsi="仿宋" w:eastAsia="仿宋" w:cs="仿宋"/>
          <w:color w:val="auto"/>
          <w:sz w:val="24"/>
          <w:highlight w:val="none"/>
        </w:rPr>
        <w:t>）</w:t>
      </w:r>
    </w:p>
    <w:p w14:paraId="07E149DF">
      <w:pPr>
        <w:spacing w:line="500" w:lineRule="exact"/>
        <w:ind w:firstLine="48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日期：  年  月  日</w:t>
      </w:r>
    </w:p>
    <w:p w14:paraId="2E51448D">
      <w:pPr>
        <w:tabs>
          <w:tab w:val="left" w:pos="4860"/>
        </w:tabs>
        <w:spacing w:line="588" w:lineRule="exact"/>
        <w:ind w:right="1560" w:firstLine="480"/>
        <w:jc w:val="center"/>
        <w:rPr>
          <w:rFonts w:hint="eastAsia" w:ascii="仿宋" w:hAnsi="仿宋" w:eastAsia="仿宋" w:cs="仿宋"/>
          <w:color w:val="auto"/>
          <w:sz w:val="24"/>
          <w:szCs w:val="24"/>
          <w:highlight w:val="none"/>
        </w:rPr>
      </w:pPr>
    </w:p>
    <w:p w14:paraId="7CBF5F6F">
      <w:pPr>
        <w:spacing w:line="500" w:lineRule="exact"/>
        <w:ind w:left="357" w:firstLine="0"/>
        <w:rPr>
          <w:rFonts w:hint="eastAsia" w:ascii="仿宋" w:hAnsi="仿宋" w:eastAsia="仿宋" w:cs="仿宋"/>
          <w:color w:val="auto"/>
          <w:sz w:val="24"/>
          <w:szCs w:val="24"/>
          <w:highlight w:val="none"/>
        </w:rPr>
      </w:pPr>
    </w:p>
    <w:p w14:paraId="1A02B946">
      <w:pPr>
        <w:spacing w:line="480" w:lineRule="exact"/>
        <w:ind w:firstLine="4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备注：1.非残疾人福利性单位不需提供此函。</w:t>
      </w:r>
    </w:p>
    <w:p w14:paraId="1191A558">
      <w:pPr>
        <w:spacing w:line="480" w:lineRule="exact"/>
        <w:ind w:firstLine="4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2.符合报价折扣情形的请将此函填报上传至“企业报价折扣证明”一栏中。</w:t>
      </w:r>
    </w:p>
    <w:p w14:paraId="0BE01376">
      <w:pPr>
        <w:spacing w:line="480" w:lineRule="exact"/>
        <w:ind w:firstLine="442"/>
        <w:rPr>
          <w:rFonts w:hint="eastAsia" w:ascii="仿宋" w:hAnsi="仿宋" w:eastAsia="仿宋" w:cs="仿宋"/>
          <w:color w:val="auto"/>
          <w:sz w:val="24"/>
          <w:szCs w:val="24"/>
          <w:highlight w:val="none"/>
        </w:rPr>
      </w:pPr>
    </w:p>
    <w:p w14:paraId="49C449F0">
      <w:pPr>
        <w:keepNext w:val="0"/>
        <w:spacing w:before="120" w:after="120"/>
        <w:jc w:val="left"/>
        <w:rPr>
          <w:rFonts w:hint="eastAsia" w:ascii="仿宋" w:hAnsi="仿宋" w:eastAsia="仿宋" w:cs="仿宋"/>
          <w:b/>
          <w:color w:val="auto"/>
          <w:sz w:val="32"/>
          <w:szCs w:val="32"/>
          <w:highlight w:val="none"/>
        </w:rPr>
        <w:sectPr>
          <w:pgSz w:w="11906" w:h="16838"/>
          <w:pgMar w:top="1418" w:right="1588" w:bottom="1418" w:left="1365" w:header="851" w:footer="907" w:gutter="0"/>
          <w:pgBorders>
            <w:top w:val="none" w:sz="0" w:space="0"/>
            <w:left w:val="none" w:sz="0" w:space="0"/>
            <w:bottom w:val="none" w:sz="0" w:space="0"/>
            <w:right w:val="none" w:sz="0" w:space="0"/>
          </w:pgBorders>
          <w:pgNumType w:fmt="decimal"/>
          <w:cols w:space="1701" w:num="1"/>
          <w:titlePg/>
          <w:docGrid w:linePitch="360" w:charSpace="0"/>
        </w:sectPr>
      </w:pPr>
      <w:r>
        <w:rPr>
          <w:rFonts w:hint="eastAsia" w:ascii="仿宋" w:hAnsi="仿宋" w:eastAsia="仿宋" w:cs="仿宋"/>
          <w:b/>
          <w:color w:val="auto"/>
          <w:sz w:val="32"/>
          <w:szCs w:val="32"/>
          <w:highlight w:val="none"/>
        </w:rPr>
        <w:br w:type="page" w:clear="all"/>
      </w:r>
    </w:p>
    <w:p w14:paraId="7F3B5B8B">
      <w:pPr>
        <w:keepNext w:val="0"/>
        <w:spacing w:before="120" w:after="120"/>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七、项目实施方案</w:t>
      </w:r>
    </w:p>
    <w:p w14:paraId="778B0DF3">
      <w:pPr>
        <w:outlineLvl w:val="1"/>
        <w:rPr>
          <w:rFonts w:hint="eastAsia" w:ascii="仿宋" w:hAnsi="仿宋" w:eastAsia="仿宋" w:cs="仿宋"/>
          <w:color w:val="auto"/>
          <w:highlight w:val="none"/>
          <w:lang w:val="en-US" w:eastAsia="zh-CN"/>
        </w:rPr>
        <w:sectPr>
          <w:pgSz w:w="11906" w:h="16838"/>
          <w:pgMar w:top="1418" w:right="1588" w:bottom="1418" w:left="1365" w:header="851" w:footer="907" w:gutter="0"/>
          <w:pgBorders>
            <w:top w:val="none" w:sz="0" w:space="0"/>
            <w:left w:val="none" w:sz="0" w:space="0"/>
            <w:bottom w:val="none" w:sz="0" w:space="0"/>
            <w:right w:val="none" w:sz="0" w:space="0"/>
          </w:pgBorders>
          <w:pgNumType w:fmt="decimal"/>
          <w:cols w:space="1701" w:num="1"/>
          <w:titlePg/>
          <w:docGrid w:linePitch="360" w:charSpace="0"/>
        </w:sectPr>
      </w:pPr>
    </w:p>
    <w:p w14:paraId="2ADA7008">
      <w:pPr>
        <w:keepNext w:val="0"/>
        <w:spacing w:before="120" w:after="120"/>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八、项目组人员</w:t>
      </w:r>
    </w:p>
    <w:p w14:paraId="70B7DF6E">
      <w:pPr>
        <w:spacing w:line="60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bidi="ar"/>
        </w:rPr>
        <w:t>项目组</w:t>
      </w:r>
      <w:r>
        <w:rPr>
          <w:rFonts w:hint="eastAsia" w:ascii="仿宋" w:hAnsi="仿宋" w:eastAsia="仿宋" w:cs="仿宋"/>
          <w:b/>
          <w:bCs/>
          <w:color w:val="auto"/>
          <w:sz w:val="32"/>
          <w:szCs w:val="32"/>
          <w:highlight w:val="none"/>
          <w:lang w:val="en-US" w:eastAsia="zh-CN" w:bidi="ar"/>
        </w:rPr>
        <w:t>人</w:t>
      </w:r>
      <w:r>
        <w:rPr>
          <w:rFonts w:hint="eastAsia" w:ascii="仿宋" w:hAnsi="仿宋" w:eastAsia="仿宋" w:cs="仿宋"/>
          <w:b/>
          <w:bCs/>
          <w:color w:val="auto"/>
          <w:sz w:val="32"/>
          <w:szCs w:val="32"/>
          <w:highlight w:val="none"/>
          <w:lang w:bidi="ar"/>
        </w:rPr>
        <w:t>员</w:t>
      </w:r>
    </w:p>
    <w:tbl>
      <w:tblPr>
        <w:tblStyle w:val="2"/>
        <w:tblpPr w:leftFromText="180" w:rightFromText="180" w:vertAnchor="text" w:horzAnchor="margin" w:tblpXSpec="center" w:tblpY="7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843"/>
        <w:gridCol w:w="992"/>
        <w:gridCol w:w="1984"/>
        <w:gridCol w:w="1702"/>
        <w:gridCol w:w="962"/>
      </w:tblGrid>
      <w:tr w14:paraId="54223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59" w:type="dxa"/>
            <w:noWrap w:val="0"/>
            <w:vAlign w:val="center"/>
          </w:tcPr>
          <w:p w14:paraId="410D824C">
            <w:pPr>
              <w:widowControl/>
              <w:spacing w:beforeAutospacing="1"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843" w:type="dxa"/>
            <w:noWrap w:val="0"/>
            <w:vAlign w:val="center"/>
          </w:tcPr>
          <w:p w14:paraId="66F228F8">
            <w:pPr>
              <w:widowControl/>
              <w:spacing w:beforeAutospacing="1"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992" w:type="dxa"/>
            <w:noWrap w:val="0"/>
            <w:vAlign w:val="center"/>
          </w:tcPr>
          <w:p w14:paraId="35337DD3">
            <w:pPr>
              <w:widowControl/>
              <w:spacing w:beforeAutospacing="1"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学历</w:t>
            </w:r>
          </w:p>
        </w:tc>
        <w:tc>
          <w:tcPr>
            <w:tcW w:w="1984" w:type="dxa"/>
            <w:noWrap w:val="0"/>
            <w:vAlign w:val="center"/>
          </w:tcPr>
          <w:p w14:paraId="1DB5F332">
            <w:pPr>
              <w:widowControl/>
              <w:spacing w:beforeAutospacing="1" w:line="560" w:lineRule="exact"/>
              <w:ind w:firstLine="2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w:t>
            </w:r>
          </w:p>
        </w:tc>
        <w:tc>
          <w:tcPr>
            <w:tcW w:w="1702" w:type="dxa"/>
            <w:noWrap w:val="0"/>
            <w:vAlign w:val="center"/>
          </w:tcPr>
          <w:p w14:paraId="72480DA6">
            <w:pPr>
              <w:widowControl/>
              <w:spacing w:beforeAutospacing="1"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相关证书</w:t>
            </w:r>
          </w:p>
        </w:tc>
        <w:tc>
          <w:tcPr>
            <w:tcW w:w="962" w:type="dxa"/>
            <w:noWrap w:val="0"/>
            <w:vAlign w:val="center"/>
          </w:tcPr>
          <w:p w14:paraId="6E2F9DC6">
            <w:pPr>
              <w:widowControl/>
              <w:spacing w:beforeAutospacing="1"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57738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52F2722C">
            <w:pPr>
              <w:widowControl/>
              <w:spacing w:line="560" w:lineRule="exact"/>
              <w:ind w:firstLine="560"/>
              <w:jc w:val="center"/>
              <w:rPr>
                <w:rFonts w:hint="eastAsia" w:ascii="仿宋" w:hAnsi="仿宋" w:eastAsia="仿宋" w:cs="仿宋"/>
                <w:color w:val="auto"/>
                <w:sz w:val="28"/>
                <w:szCs w:val="28"/>
                <w:highlight w:val="none"/>
              </w:rPr>
            </w:pPr>
          </w:p>
        </w:tc>
        <w:tc>
          <w:tcPr>
            <w:tcW w:w="1843" w:type="dxa"/>
            <w:noWrap w:val="0"/>
            <w:vAlign w:val="center"/>
          </w:tcPr>
          <w:p w14:paraId="54BD1B5B">
            <w:pPr>
              <w:jc w:val="both"/>
              <w:rPr>
                <w:rFonts w:hint="eastAsia" w:ascii="仿宋" w:hAnsi="仿宋" w:eastAsia="仿宋" w:cs="仿宋"/>
                <w:color w:val="auto"/>
                <w:sz w:val="20"/>
                <w:szCs w:val="20"/>
                <w:highlight w:val="none"/>
              </w:rPr>
            </w:pPr>
            <w:r>
              <w:rPr>
                <w:rFonts w:hint="eastAsia" w:ascii="仿宋" w:hAnsi="仿宋" w:eastAsia="仿宋" w:cs="仿宋"/>
                <w:color w:val="auto"/>
                <w:sz w:val="28"/>
                <w:szCs w:val="28"/>
                <w:highlight w:val="none"/>
                <w:lang w:bidi="ar"/>
              </w:rPr>
              <w:t>项目经理</w:t>
            </w:r>
          </w:p>
        </w:tc>
        <w:tc>
          <w:tcPr>
            <w:tcW w:w="992" w:type="dxa"/>
            <w:noWrap w:val="0"/>
            <w:vAlign w:val="center"/>
          </w:tcPr>
          <w:p w14:paraId="0E4FE451">
            <w:pPr>
              <w:widowControl/>
              <w:spacing w:line="560" w:lineRule="exact"/>
              <w:ind w:firstLine="560"/>
              <w:jc w:val="center"/>
              <w:rPr>
                <w:rFonts w:hint="eastAsia" w:ascii="仿宋" w:hAnsi="仿宋" w:eastAsia="仿宋" w:cs="仿宋"/>
                <w:color w:val="auto"/>
                <w:sz w:val="28"/>
                <w:szCs w:val="28"/>
                <w:highlight w:val="none"/>
              </w:rPr>
            </w:pPr>
          </w:p>
        </w:tc>
        <w:tc>
          <w:tcPr>
            <w:tcW w:w="1984" w:type="dxa"/>
            <w:noWrap w:val="0"/>
            <w:vAlign w:val="center"/>
          </w:tcPr>
          <w:p w14:paraId="13B3E46C">
            <w:pPr>
              <w:widowControl/>
              <w:spacing w:line="560" w:lineRule="exact"/>
              <w:ind w:firstLine="560"/>
              <w:jc w:val="center"/>
              <w:rPr>
                <w:rFonts w:hint="eastAsia" w:ascii="仿宋" w:hAnsi="仿宋" w:eastAsia="仿宋" w:cs="仿宋"/>
                <w:color w:val="auto"/>
                <w:sz w:val="28"/>
                <w:szCs w:val="28"/>
                <w:highlight w:val="none"/>
              </w:rPr>
            </w:pPr>
          </w:p>
        </w:tc>
        <w:tc>
          <w:tcPr>
            <w:tcW w:w="1702" w:type="dxa"/>
            <w:noWrap w:val="0"/>
            <w:vAlign w:val="center"/>
          </w:tcPr>
          <w:p w14:paraId="7636ABF8">
            <w:pPr>
              <w:widowControl/>
              <w:spacing w:line="560" w:lineRule="exact"/>
              <w:ind w:firstLine="560"/>
              <w:jc w:val="center"/>
              <w:rPr>
                <w:rFonts w:hint="eastAsia" w:ascii="仿宋" w:hAnsi="仿宋" w:eastAsia="仿宋" w:cs="仿宋"/>
                <w:color w:val="auto"/>
                <w:sz w:val="28"/>
                <w:szCs w:val="28"/>
                <w:highlight w:val="none"/>
              </w:rPr>
            </w:pPr>
          </w:p>
        </w:tc>
        <w:tc>
          <w:tcPr>
            <w:tcW w:w="962" w:type="dxa"/>
            <w:noWrap w:val="0"/>
            <w:vAlign w:val="center"/>
          </w:tcPr>
          <w:p w14:paraId="44461D22">
            <w:pPr>
              <w:widowControl/>
              <w:spacing w:line="560" w:lineRule="exact"/>
              <w:ind w:firstLine="560"/>
              <w:jc w:val="center"/>
              <w:rPr>
                <w:rFonts w:hint="eastAsia" w:ascii="仿宋" w:hAnsi="仿宋" w:eastAsia="仿宋" w:cs="仿宋"/>
                <w:color w:val="auto"/>
                <w:sz w:val="28"/>
                <w:szCs w:val="28"/>
                <w:highlight w:val="none"/>
              </w:rPr>
            </w:pPr>
          </w:p>
        </w:tc>
      </w:tr>
      <w:tr w14:paraId="4FEF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5A251ACB">
            <w:pPr>
              <w:widowControl/>
              <w:spacing w:line="560" w:lineRule="exact"/>
              <w:ind w:firstLine="560"/>
              <w:jc w:val="center"/>
              <w:rPr>
                <w:rFonts w:hint="eastAsia" w:ascii="仿宋" w:hAnsi="仿宋" w:eastAsia="仿宋" w:cs="仿宋"/>
                <w:color w:val="auto"/>
                <w:sz w:val="28"/>
                <w:szCs w:val="28"/>
                <w:highlight w:val="none"/>
              </w:rPr>
            </w:pPr>
          </w:p>
        </w:tc>
        <w:tc>
          <w:tcPr>
            <w:tcW w:w="1843" w:type="dxa"/>
            <w:noWrap w:val="0"/>
            <w:vAlign w:val="center"/>
          </w:tcPr>
          <w:p w14:paraId="0F4F0769">
            <w:pPr>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bidi="ar"/>
              </w:rPr>
              <w:t>……</w:t>
            </w:r>
          </w:p>
        </w:tc>
        <w:tc>
          <w:tcPr>
            <w:tcW w:w="992" w:type="dxa"/>
            <w:noWrap w:val="0"/>
            <w:vAlign w:val="center"/>
          </w:tcPr>
          <w:p w14:paraId="015F3A76">
            <w:pPr>
              <w:widowControl/>
              <w:spacing w:line="560" w:lineRule="exact"/>
              <w:ind w:firstLine="560"/>
              <w:jc w:val="center"/>
              <w:rPr>
                <w:rFonts w:hint="eastAsia" w:ascii="仿宋" w:hAnsi="仿宋" w:eastAsia="仿宋" w:cs="仿宋"/>
                <w:color w:val="auto"/>
                <w:sz w:val="28"/>
                <w:szCs w:val="28"/>
                <w:highlight w:val="none"/>
              </w:rPr>
            </w:pPr>
          </w:p>
        </w:tc>
        <w:tc>
          <w:tcPr>
            <w:tcW w:w="1984" w:type="dxa"/>
            <w:noWrap w:val="0"/>
            <w:vAlign w:val="center"/>
          </w:tcPr>
          <w:p w14:paraId="0E44595C">
            <w:pPr>
              <w:widowControl/>
              <w:spacing w:line="560" w:lineRule="exact"/>
              <w:ind w:firstLine="560"/>
              <w:jc w:val="center"/>
              <w:rPr>
                <w:rFonts w:hint="eastAsia" w:ascii="仿宋" w:hAnsi="仿宋" w:eastAsia="仿宋" w:cs="仿宋"/>
                <w:color w:val="auto"/>
                <w:sz w:val="28"/>
                <w:szCs w:val="28"/>
                <w:highlight w:val="none"/>
              </w:rPr>
            </w:pPr>
          </w:p>
        </w:tc>
        <w:tc>
          <w:tcPr>
            <w:tcW w:w="1702" w:type="dxa"/>
            <w:noWrap w:val="0"/>
            <w:vAlign w:val="center"/>
          </w:tcPr>
          <w:p w14:paraId="1C71A5BB">
            <w:pPr>
              <w:widowControl/>
              <w:spacing w:line="560" w:lineRule="exact"/>
              <w:ind w:firstLine="560"/>
              <w:jc w:val="center"/>
              <w:rPr>
                <w:rFonts w:hint="eastAsia" w:ascii="仿宋" w:hAnsi="仿宋" w:eastAsia="仿宋" w:cs="仿宋"/>
                <w:color w:val="auto"/>
                <w:sz w:val="28"/>
                <w:szCs w:val="28"/>
                <w:highlight w:val="none"/>
              </w:rPr>
            </w:pPr>
          </w:p>
        </w:tc>
        <w:tc>
          <w:tcPr>
            <w:tcW w:w="962" w:type="dxa"/>
            <w:noWrap w:val="0"/>
            <w:vAlign w:val="center"/>
          </w:tcPr>
          <w:p w14:paraId="5C643A1F">
            <w:pPr>
              <w:widowControl/>
              <w:spacing w:line="560" w:lineRule="exact"/>
              <w:ind w:firstLine="560"/>
              <w:jc w:val="center"/>
              <w:rPr>
                <w:rFonts w:hint="eastAsia" w:ascii="仿宋" w:hAnsi="仿宋" w:eastAsia="仿宋" w:cs="仿宋"/>
                <w:color w:val="auto"/>
                <w:sz w:val="28"/>
                <w:szCs w:val="28"/>
                <w:highlight w:val="none"/>
              </w:rPr>
            </w:pPr>
          </w:p>
        </w:tc>
      </w:tr>
      <w:tr w14:paraId="625F7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74E5D48F">
            <w:pPr>
              <w:widowControl/>
              <w:spacing w:line="560" w:lineRule="exact"/>
              <w:ind w:firstLine="560"/>
              <w:jc w:val="center"/>
              <w:rPr>
                <w:rFonts w:hint="eastAsia" w:ascii="仿宋" w:hAnsi="仿宋" w:eastAsia="仿宋" w:cs="仿宋"/>
                <w:color w:val="auto"/>
                <w:sz w:val="28"/>
                <w:szCs w:val="28"/>
                <w:highlight w:val="none"/>
              </w:rPr>
            </w:pPr>
          </w:p>
        </w:tc>
        <w:tc>
          <w:tcPr>
            <w:tcW w:w="1843" w:type="dxa"/>
            <w:noWrap w:val="0"/>
            <w:vAlign w:val="center"/>
          </w:tcPr>
          <w:p w14:paraId="6196A1A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bidi="ar"/>
              </w:rPr>
              <w:t>……</w:t>
            </w:r>
          </w:p>
        </w:tc>
        <w:tc>
          <w:tcPr>
            <w:tcW w:w="992" w:type="dxa"/>
            <w:noWrap w:val="0"/>
            <w:vAlign w:val="center"/>
          </w:tcPr>
          <w:p w14:paraId="4EF94C84">
            <w:pPr>
              <w:widowControl/>
              <w:spacing w:line="560" w:lineRule="exact"/>
              <w:ind w:firstLine="560"/>
              <w:jc w:val="center"/>
              <w:rPr>
                <w:rFonts w:hint="eastAsia" w:ascii="仿宋" w:hAnsi="仿宋" w:eastAsia="仿宋" w:cs="仿宋"/>
                <w:color w:val="auto"/>
                <w:sz w:val="28"/>
                <w:szCs w:val="28"/>
                <w:highlight w:val="none"/>
              </w:rPr>
            </w:pPr>
          </w:p>
        </w:tc>
        <w:tc>
          <w:tcPr>
            <w:tcW w:w="1984" w:type="dxa"/>
            <w:noWrap w:val="0"/>
            <w:vAlign w:val="center"/>
          </w:tcPr>
          <w:p w14:paraId="0B7D65FC">
            <w:pPr>
              <w:widowControl/>
              <w:spacing w:line="560" w:lineRule="exact"/>
              <w:ind w:firstLine="560"/>
              <w:jc w:val="center"/>
              <w:rPr>
                <w:rFonts w:hint="eastAsia" w:ascii="仿宋" w:hAnsi="仿宋" w:eastAsia="仿宋" w:cs="仿宋"/>
                <w:color w:val="auto"/>
                <w:sz w:val="28"/>
                <w:szCs w:val="28"/>
                <w:highlight w:val="none"/>
              </w:rPr>
            </w:pPr>
          </w:p>
        </w:tc>
        <w:tc>
          <w:tcPr>
            <w:tcW w:w="1702" w:type="dxa"/>
            <w:noWrap w:val="0"/>
            <w:vAlign w:val="center"/>
          </w:tcPr>
          <w:p w14:paraId="697E4DFB">
            <w:pPr>
              <w:widowControl/>
              <w:spacing w:line="560" w:lineRule="exact"/>
              <w:ind w:firstLine="560"/>
              <w:jc w:val="center"/>
              <w:rPr>
                <w:rFonts w:hint="eastAsia" w:ascii="仿宋" w:hAnsi="仿宋" w:eastAsia="仿宋" w:cs="仿宋"/>
                <w:color w:val="auto"/>
                <w:sz w:val="28"/>
                <w:szCs w:val="28"/>
                <w:highlight w:val="none"/>
              </w:rPr>
            </w:pPr>
          </w:p>
        </w:tc>
        <w:tc>
          <w:tcPr>
            <w:tcW w:w="962" w:type="dxa"/>
            <w:noWrap w:val="0"/>
            <w:vAlign w:val="center"/>
          </w:tcPr>
          <w:p w14:paraId="088B898E">
            <w:pPr>
              <w:widowControl/>
              <w:spacing w:line="560" w:lineRule="exact"/>
              <w:ind w:firstLine="560"/>
              <w:jc w:val="center"/>
              <w:rPr>
                <w:rFonts w:hint="eastAsia" w:ascii="仿宋" w:hAnsi="仿宋" w:eastAsia="仿宋" w:cs="仿宋"/>
                <w:color w:val="auto"/>
                <w:sz w:val="28"/>
                <w:szCs w:val="28"/>
                <w:highlight w:val="none"/>
              </w:rPr>
            </w:pPr>
          </w:p>
        </w:tc>
      </w:tr>
      <w:tr w14:paraId="00500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2E40279B">
            <w:pPr>
              <w:widowControl/>
              <w:spacing w:line="560" w:lineRule="exact"/>
              <w:ind w:firstLine="560"/>
              <w:jc w:val="center"/>
              <w:rPr>
                <w:rFonts w:hint="eastAsia" w:ascii="仿宋" w:hAnsi="仿宋" w:eastAsia="仿宋" w:cs="仿宋"/>
                <w:color w:val="auto"/>
                <w:sz w:val="28"/>
                <w:szCs w:val="28"/>
                <w:highlight w:val="none"/>
              </w:rPr>
            </w:pPr>
          </w:p>
        </w:tc>
        <w:tc>
          <w:tcPr>
            <w:tcW w:w="1843" w:type="dxa"/>
            <w:noWrap w:val="0"/>
            <w:vAlign w:val="center"/>
          </w:tcPr>
          <w:p w14:paraId="3D6439FD">
            <w:pPr>
              <w:rPr>
                <w:rFonts w:hint="eastAsia" w:ascii="仿宋" w:hAnsi="仿宋" w:eastAsia="仿宋" w:cs="仿宋"/>
                <w:color w:val="auto"/>
                <w:sz w:val="28"/>
                <w:szCs w:val="28"/>
                <w:highlight w:val="none"/>
              </w:rPr>
            </w:pPr>
          </w:p>
        </w:tc>
        <w:tc>
          <w:tcPr>
            <w:tcW w:w="992" w:type="dxa"/>
            <w:noWrap w:val="0"/>
            <w:vAlign w:val="center"/>
          </w:tcPr>
          <w:p w14:paraId="694260F7">
            <w:pPr>
              <w:widowControl/>
              <w:spacing w:line="560" w:lineRule="exact"/>
              <w:ind w:firstLine="560"/>
              <w:jc w:val="center"/>
              <w:rPr>
                <w:rFonts w:hint="eastAsia" w:ascii="仿宋" w:hAnsi="仿宋" w:eastAsia="仿宋" w:cs="仿宋"/>
                <w:color w:val="auto"/>
                <w:sz w:val="28"/>
                <w:szCs w:val="28"/>
                <w:highlight w:val="none"/>
              </w:rPr>
            </w:pPr>
          </w:p>
        </w:tc>
        <w:tc>
          <w:tcPr>
            <w:tcW w:w="1984" w:type="dxa"/>
            <w:noWrap w:val="0"/>
            <w:vAlign w:val="center"/>
          </w:tcPr>
          <w:p w14:paraId="767982CD">
            <w:pPr>
              <w:widowControl/>
              <w:spacing w:line="560" w:lineRule="exact"/>
              <w:ind w:firstLine="560"/>
              <w:jc w:val="center"/>
              <w:rPr>
                <w:rFonts w:hint="eastAsia" w:ascii="仿宋" w:hAnsi="仿宋" w:eastAsia="仿宋" w:cs="仿宋"/>
                <w:color w:val="auto"/>
                <w:sz w:val="28"/>
                <w:szCs w:val="28"/>
                <w:highlight w:val="none"/>
              </w:rPr>
            </w:pPr>
          </w:p>
        </w:tc>
        <w:tc>
          <w:tcPr>
            <w:tcW w:w="1702" w:type="dxa"/>
            <w:noWrap w:val="0"/>
            <w:vAlign w:val="center"/>
          </w:tcPr>
          <w:p w14:paraId="6B35046C">
            <w:pPr>
              <w:widowControl/>
              <w:spacing w:line="560" w:lineRule="exact"/>
              <w:ind w:firstLine="560"/>
              <w:jc w:val="center"/>
              <w:rPr>
                <w:rFonts w:hint="eastAsia" w:ascii="仿宋" w:hAnsi="仿宋" w:eastAsia="仿宋" w:cs="仿宋"/>
                <w:color w:val="auto"/>
                <w:sz w:val="28"/>
                <w:szCs w:val="28"/>
                <w:highlight w:val="none"/>
              </w:rPr>
            </w:pPr>
          </w:p>
        </w:tc>
        <w:tc>
          <w:tcPr>
            <w:tcW w:w="962" w:type="dxa"/>
            <w:noWrap w:val="0"/>
            <w:vAlign w:val="center"/>
          </w:tcPr>
          <w:p w14:paraId="0BA05CCF">
            <w:pPr>
              <w:widowControl/>
              <w:spacing w:line="560" w:lineRule="exact"/>
              <w:ind w:firstLine="560"/>
              <w:jc w:val="center"/>
              <w:rPr>
                <w:rFonts w:hint="eastAsia" w:ascii="仿宋" w:hAnsi="仿宋" w:eastAsia="仿宋" w:cs="仿宋"/>
                <w:color w:val="auto"/>
                <w:sz w:val="28"/>
                <w:szCs w:val="28"/>
                <w:highlight w:val="none"/>
              </w:rPr>
            </w:pPr>
          </w:p>
        </w:tc>
      </w:tr>
      <w:tr w14:paraId="4E6E6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6F8D1725">
            <w:pPr>
              <w:widowControl/>
              <w:spacing w:line="560" w:lineRule="exact"/>
              <w:ind w:firstLine="560"/>
              <w:jc w:val="center"/>
              <w:rPr>
                <w:rFonts w:hint="eastAsia" w:ascii="仿宋" w:hAnsi="仿宋" w:eastAsia="仿宋" w:cs="仿宋"/>
                <w:color w:val="auto"/>
                <w:sz w:val="28"/>
                <w:szCs w:val="28"/>
                <w:highlight w:val="none"/>
              </w:rPr>
            </w:pPr>
          </w:p>
        </w:tc>
        <w:tc>
          <w:tcPr>
            <w:tcW w:w="1843" w:type="dxa"/>
            <w:noWrap w:val="0"/>
            <w:vAlign w:val="center"/>
          </w:tcPr>
          <w:p w14:paraId="33C40D9B">
            <w:pPr>
              <w:rPr>
                <w:rFonts w:hint="eastAsia" w:ascii="仿宋" w:hAnsi="仿宋" w:eastAsia="仿宋" w:cs="仿宋"/>
                <w:color w:val="auto"/>
                <w:sz w:val="28"/>
                <w:szCs w:val="28"/>
                <w:highlight w:val="none"/>
              </w:rPr>
            </w:pPr>
          </w:p>
        </w:tc>
        <w:tc>
          <w:tcPr>
            <w:tcW w:w="992" w:type="dxa"/>
            <w:noWrap w:val="0"/>
            <w:vAlign w:val="center"/>
          </w:tcPr>
          <w:p w14:paraId="6645D063">
            <w:pPr>
              <w:widowControl/>
              <w:spacing w:line="560" w:lineRule="exact"/>
              <w:ind w:firstLine="560"/>
              <w:jc w:val="center"/>
              <w:rPr>
                <w:rFonts w:hint="eastAsia" w:ascii="仿宋" w:hAnsi="仿宋" w:eastAsia="仿宋" w:cs="仿宋"/>
                <w:color w:val="auto"/>
                <w:sz w:val="28"/>
                <w:szCs w:val="28"/>
                <w:highlight w:val="none"/>
              </w:rPr>
            </w:pPr>
          </w:p>
        </w:tc>
        <w:tc>
          <w:tcPr>
            <w:tcW w:w="1984" w:type="dxa"/>
            <w:noWrap w:val="0"/>
            <w:vAlign w:val="center"/>
          </w:tcPr>
          <w:p w14:paraId="06B2807C">
            <w:pPr>
              <w:widowControl/>
              <w:spacing w:line="560" w:lineRule="exact"/>
              <w:ind w:firstLine="560"/>
              <w:jc w:val="center"/>
              <w:rPr>
                <w:rFonts w:hint="eastAsia" w:ascii="仿宋" w:hAnsi="仿宋" w:eastAsia="仿宋" w:cs="仿宋"/>
                <w:color w:val="auto"/>
                <w:sz w:val="28"/>
                <w:szCs w:val="28"/>
                <w:highlight w:val="none"/>
              </w:rPr>
            </w:pPr>
          </w:p>
        </w:tc>
        <w:tc>
          <w:tcPr>
            <w:tcW w:w="1702" w:type="dxa"/>
            <w:noWrap w:val="0"/>
            <w:vAlign w:val="center"/>
          </w:tcPr>
          <w:p w14:paraId="68CE6497">
            <w:pPr>
              <w:widowControl/>
              <w:spacing w:line="560" w:lineRule="exact"/>
              <w:ind w:firstLine="560"/>
              <w:jc w:val="center"/>
              <w:rPr>
                <w:rFonts w:hint="eastAsia" w:ascii="仿宋" w:hAnsi="仿宋" w:eastAsia="仿宋" w:cs="仿宋"/>
                <w:color w:val="auto"/>
                <w:sz w:val="28"/>
                <w:szCs w:val="28"/>
                <w:highlight w:val="none"/>
              </w:rPr>
            </w:pPr>
          </w:p>
        </w:tc>
        <w:tc>
          <w:tcPr>
            <w:tcW w:w="962" w:type="dxa"/>
            <w:noWrap w:val="0"/>
            <w:vAlign w:val="center"/>
          </w:tcPr>
          <w:p w14:paraId="2B64696D">
            <w:pPr>
              <w:widowControl/>
              <w:spacing w:line="560" w:lineRule="exact"/>
              <w:ind w:firstLine="560"/>
              <w:jc w:val="center"/>
              <w:rPr>
                <w:rFonts w:hint="eastAsia" w:ascii="仿宋" w:hAnsi="仿宋" w:eastAsia="仿宋" w:cs="仿宋"/>
                <w:color w:val="auto"/>
                <w:sz w:val="28"/>
                <w:szCs w:val="28"/>
                <w:highlight w:val="none"/>
              </w:rPr>
            </w:pPr>
          </w:p>
        </w:tc>
      </w:tr>
      <w:tr w14:paraId="10A33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2CFB1553">
            <w:pPr>
              <w:widowControl/>
              <w:spacing w:line="560" w:lineRule="exact"/>
              <w:ind w:firstLine="560"/>
              <w:jc w:val="center"/>
              <w:rPr>
                <w:rFonts w:hint="eastAsia" w:ascii="仿宋" w:hAnsi="仿宋" w:eastAsia="仿宋" w:cs="仿宋"/>
                <w:color w:val="auto"/>
                <w:sz w:val="28"/>
                <w:szCs w:val="28"/>
                <w:highlight w:val="none"/>
              </w:rPr>
            </w:pPr>
          </w:p>
        </w:tc>
        <w:tc>
          <w:tcPr>
            <w:tcW w:w="1843" w:type="dxa"/>
            <w:noWrap w:val="0"/>
            <w:vAlign w:val="center"/>
          </w:tcPr>
          <w:p w14:paraId="38EA995F">
            <w:pPr>
              <w:widowControl/>
              <w:spacing w:line="560" w:lineRule="exact"/>
              <w:ind w:firstLine="560"/>
              <w:jc w:val="center"/>
              <w:rPr>
                <w:rFonts w:hint="eastAsia" w:ascii="仿宋" w:hAnsi="仿宋" w:eastAsia="仿宋" w:cs="仿宋"/>
                <w:color w:val="auto"/>
                <w:sz w:val="28"/>
                <w:szCs w:val="28"/>
                <w:highlight w:val="none"/>
              </w:rPr>
            </w:pPr>
          </w:p>
        </w:tc>
        <w:tc>
          <w:tcPr>
            <w:tcW w:w="992" w:type="dxa"/>
            <w:noWrap w:val="0"/>
            <w:vAlign w:val="center"/>
          </w:tcPr>
          <w:p w14:paraId="7F92F060">
            <w:pPr>
              <w:widowControl/>
              <w:spacing w:line="560" w:lineRule="exact"/>
              <w:ind w:firstLine="560"/>
              <w:jc w:val="center"/>
              <w:rPr>
                <w:rFonts w:hint="eastAsia" w:ascii="仿宋" w:hAnsi="仿宋" w:eastAsia="仿宋" w:cs="仿宋"/>
                <w:color w:val="auto"/>
                <w:sz w:val="28"/>
                <w:szCs w:val="28"/>
                <w:highlight w:val="none"/>
              </w:rPr>
            </w:pPr>
          </w:p>
        </w:tc>
        <w:tc>
          <w:tcPr>
            <w:tcW w:w="1984" w:type="dxa"/>
            <w:noWrap w:val="0"/>
            <w:vAlign w:val="center"/>
          </w:tcPr>
          <w:p w14:paraId="159AB5E4">
            <w:pPr>
              <w:widowControl/>
              <w:spacing w:line="560" w:lineRule="exact"/>
              <w:ind w:firstLine="560"/>
              <w:jc w:val="center"/>
              <w:rPr>
                <w:rFonts w:hint="eastAsia" w:ascii="仿宋" w:hAnsi="仿宋" w:eastAsia="仿宋" w:cs="仿宋"/>
                <w:color w:val="auto"/>
                <w:sz w:val="28"/>
                <w:szCs w:val="28"/>
                <w:highlight w:val="none"/>
              </w:rPr>
            </w:pPr>
          </w:p>
        </w:tc>
        <w:tc>
          <w:tcPr>
            <w:tcW w:w="1702" w:type="dxa"/>
            <w:noWrap w:val="0"/>
            <w:vAlign w:val="center"/>
          </w:tcPr>
          <w:p w14:paraId="2DB8A977">
            <w:pPr>
              <w:widowControl/>
              <w:spacing w:line="560" w:lineRule="exact"/>
              <w:ind w:firstLine="560"/>
              <w:jc w:val="center"/>
              <w:rPr>
                <w:rFonts w:hint="eastAsia" w:ascii="仿宋" w:hAnsi="仿宋" w:eastAsia="仿宋" w:cs="仿宋"/>
                <w:color w:val="auto"/>
                <w:sz w:val="28"/>
                <w:szCs w:val="28"/>
                <w:highlight w:val="none"/>
              </w:rPr>
            </w:pPr>
          </w:p>
        </w:tc>
        <w:tc>
          <w:tcPr>
            <w:tcW w:w="962" w:type="dxa"/>
            <w:noWrap w:val="0"/>
            <w:vAlign w:val="center"/>
          </w:tcPr>
          <w:p w14:paraId="28AF2377">
            <w:pPr>
              <w:widowControl/>
              <w:spacing w:line="560" w:lineRule="exact"/>
              <w:ind w:firstLine="560"/>
              <w:jc w:val="center"/>
              <w:rPr>
                <w:rFonts w:hint="eastAsia" w:ascii="仿宋" w:hAnsi="仿宋" w:eastAsia="仿宋" w:cs="仿宋"/>
                <w:color w:val="auto"/>
                <w:sz w:val="28"/>
                <w:szCs w:val="28"/>
                <w:highlight w:val="none"/>
              </w:rPr>
            </w:pPr>
          </w:p>
        </w:tc>
      </w:tr>
      <w:tr w14:paraId="4FAAC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2CAB0101">
            <w:pPr>
              <w:widowControl/>
              <w:spacing w:line="560" w:lineRule="exact"/>
              <w:ind w:firstLine="560"/>
              <w:jc w:val="center"/>
              <w:rPr>
                <w:rFonts w:hint="eastAsia" w:ascii="仿宋" w:hAnsi="仿宋" w:eastAsia="仿宋" w:cs="仿宋"/>
                <w:color w:val="auto"/>
                <w:sz w:val="28"/>
                <w:szCs w:val="28"/>
                <w:highlight w:val="none"/>
              </w:rPr>
            </w:pPr>
          </w:p>
        </w:tc>
        <w:tc>
          <w:tcPr>
            <w:tcW w:w="1843" w:type="dxa"/>
            <w:noWrap w:val="0"/>
            <w:vAlign w:val="center"/>
          </w:tcPr>
          <w:p w14:paraId="4E1C8395">
            <w:pPr>
              <w:widowControl/>
              <w:spacing w:line="560" w:lineRule="exact"/>
              <w:ind w:firstLine="560"/>
              <w:jc w:val="center"/>
              <w:rPr>
                <w:rFonts w:hint="eastAsia" w:ascii="仿宋" w:hAnsi="仿宋" w:eastAsia="仿宋" w:cs="仿宋"/>
                <w:color w:val="auto"/>
                <w:sz w:val="28"/>
                <w:szCs w:val="28"/>
                <w:highlight w:val="none"/>
              </w:rPr>
            </w:pPr>
          </w:p>
        </w:tc>
        <w:tc>
          <w:tcPr>
            <w:tcW w:w="992" w:type="dxa"/>
            <w:noWrap w:val="0"/>
            <w:vAlign w:val="center"/>
          </w:tcPr>
          <w:p w14:paraId="624B030F">
            <w:pPr>
              <w:widowControl/>
              <w:spacing w:line="560" w:lineRule="exact"/>
              <w:ind w:firstLine="560"/>
              <w:jc w:val="center"/>
              <w:rPr>
                <w:rFonts w:hint="eastAsia" w:ascii="仿宋" w:hAnsi="仿宋" w:eastAsia="仿宋" w:cs="仿宋"/>
                <w:color w:val="auto"/>
                <w:sz w:val="28"/>
                <w:szCs w:val="28"/>
                <w:highlight w:val="none"/>
              </w:rPr>
            </w:pPr>
          </w:p>
        </w:tc>
        <w:tc>
          <w:tcPr>
            <w:tcW w:w="1984" w:type="dxa"/>
            <w:noWrap w:val="0"/>
            <w:vAlign w:val="center"/>
          </w:tcPr>
          <w:p w14:paraId="46311AF5">
            <w:pPr>
              <w:widowControl/>
              <w:spacing w:line="560" w:lineRule="exact"/>
              <w:ind w:firstLine="560"/>
              <w:jc w:val="center"/>
              <w:rPr>
                <w:rFonts w:hint="eastAsia" w:ascii="仿宋" w:hAnsi="仿宋" w:eastAsia="仿宋" w:cs="仿宋"/>
                <w:color w:val="auto"/>
                <w:sz w:val="28"/>
                <w:szCs w:val="28"/>
                <w:highlight w:val="none"/>
              </w:rPr>
            </w:pPr>
          </w:p>
        </w:tc>
        <w:tc>
          <w:tcPr>
            <w:tcW w:w="1702" w:type="dxa"/>
            <w:noWrap w:val="0"/>
            <w:vAlign w:val="center"/>
          </w:tcPr>
          <w:p w14:paraId="0DA6FADB">
            <w:pPr>
              <w:widowControl/>
              <w:spacing w:line="560" w:lineRule="exact"/>
              <w:ind w:firstLine="560"/>
              <w:jc w:val="center"/>
              <w:rPr>
                <w:rFonts w:hint="eastAsia" w:ascii="仿宋" w:hAnsi="仿宋" w:eastAsia="仿宋" w:cs="仿宋"/>
                <w:color w:val="auto"/>
                <w:sz w:val="28"/>
                <w:szCs w:val="28"/>
                <w:highlight w:val="none"/>
              </w:rPr>
            </w:pPr>
          </w:p>
        </w:tc>
        <w:tc>
          <w:tcPr>
            <w:tcW w:w="962" w:type="dxa"/>
            <w:noWrap w:val="0"/>
            <w:vAlign w:val="center"/>
          </w:tcPr>
          <w:p w14:paraId="627322A9">
            <w:pPr>
              <w:widowControl/>
              <w:spacing w:line="560" w:lineRule="exact"/>
              <w:ind w:firstLine="560"/>
              <w:jc w:val="center"/>
              <w:rPr>
                <w:rFonts w:hint="eastAsia" w:ascii="仿宋" w:hAnsi="仿宋" w:eastAsia="仿宋" w:cs="仿宋"/>
                <w:color w:val="auto"/>
                <w:sz w:val="28"/>
                <w:szCs w:val="28"/>
                <w:highlight w:val="none"/>
              </w:rPr>
            </w:pPr>
          </w:p>
        </w:tc>
      </w:tr>
      <w:tr w14:paraId="77C45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06D55006">
            <w:pPr>
              <w:widowControl/>
              <w:spacing w:line="560" w:lineRule="exact"/>
              <w:ind w:firstLine="560"/>
              <w:jc w:val="center"/>
              <w:rPr>
                <w:rFonts w:hint="eastAsia" w:ascii="仿宋" w:hAnsi="仿宋" w:eastAsia="仿宋" w:cs="仿宋"/>
                <w:color w:val="auto"/>
                <w:sz w:val="28"/>
                <w:szCs w:val="28"/>
                <w:highlight w:val="none"/>
              </w:rPr>
            </w:pPr>
          </w:p>
        </w:tc>
        <w:tc>
          <w:tcPr>
            <w:tcW w:w="1843" w:type="dxa"/>
            <w:noWrap w:val="0"/>
            <w:vAlign w:val="center"/>
          </w:tcPr>
          <w:p w14:paraId="30B14C44">
            <w:pPr>
              <w:widowControl/>
              <w:spacing w:line="560" w:lineRule="exact"/>
              <w:ind w:firstLine="560"/>
              <w:jc w:val="center"/>
              <w:rPr>
                <w:rFonts w:hint="eastAsia" w:ascii="仿宋" w:hAnsi="仿宋" w:eastAsia="仿宋" w:cs="仿宋"/>
                <w:color w:val="auto"/>
                <w:sz w:val="28"/>
                <w:szCs w:val="28"/>
                <w:highlight w:val="none"/>
              </w:rPr>
            </w:pPr>
          </w:p>
        </w:tc>
        <w:tc>
          <w:tcPr>
            <w:tcW w:w="992" w:type="dxa"/>
            <w:noWrap w:val="0"/>
            <w:vAlign w:val="center"/>
          </w:tcPr>
          <w:p w14:paraId="53E21EA5">
            <w:pPr>
              <w:widowControl/>
              <w:spacing w:line="560" w:lineRule="exact"/>
              <w:ind w:firstLine="560"/>
              <w:jc w:val="center"/>
              <w:rPr>
                <w:rFonts w:hint="eastAsia" w:ascii="仿宋" w:hAnsi="仿宋" w:eastAsia="仿宋" w:cs="仿宋"/>
                <w:color w:val="auto"/>
                <w:sz w:val="28"/>
                <w:szCs w:val="28"/>
                <w:highlight w:val="none"/>
              </w:rPr>
            </w:pPr>
          </w:p>
        </w:tc>
        <w:tc>
          <w:tcPr>
            <w:tcW w:w="1984" w:type="dxa"/>
            <w:noWrap w:val="0"/>
            <w:vAlign w:val="center"/>
          </w:tcPr>
          <w:p w14:paraId="54455F99">
            <w:pPr>
              <w:widowControl/>
              <w:spacing w:line="560" w:lineRule="exact"/>
              <w:ind w:firstLine="560"/>
              <w:jc w:val="center"/>
              <w:rPr>
                <w:rFonts w:hint="eastAsia" w:ascii="仿宋" w:hAnsi="仿宋" w:eastAsia="仿宋" w:cs="仿宋"/>
                <w:color w:val="auto"/>
                <w:sz w:val="28"/>
                <w:szCs w:val="28"/>
                <w:highlight w:val="none"/>
              </w:rPr>
            </w:pPr>
          </w:p>
        </w:tc>
        <w:tc>
          <w:tcPr>
            <w:tcW w:w="1702" w:type="dxa"/>
            <w:noWrap w:val="0"/>
            <w:vAlign w:val="center"/>
          </w:tcPr>
          <w:p w14:paraId="7F8042CC">
            <w:pPr>
              <w:widowControl/>
              <w:spacing w:line="560" w:lineRule="exact"/>
              <w:ind w:firstLine="560"/>
              <w:jc w:val="center"/>
              <w:rPr>
                <w:rFonts w:hint="eastAsia" w:ascii="仿宋" w:hAnsi="仿宋" w:eastAsia="仿宋" w:cs="仿宋"/>
                <w:color w:val="auto"/>
                <w:sz w:val="28"/>
                <w:szCs w:val="28"/>
                <w:highlight w:val="none"/>
              </w:rPr>
            </w:pPr>
          </w:p>
        </w:tc>
        <w:tc>
          <w:tcPr>
            <w:tcW w:w="962" w:type="dxa"/>
            <w:noWrap w:val="0"/>
            <w:vAlign w:val="center"/>
          </w:tcPr>
          <w:p w14:paraId="00E16D99">
            <w:pPr>
              <w:widowControl/>
              <w:spacing w:line="560" w:lineRule="exact"/>
              <w:ind w:firstLine="560"/>
              <w:jc w:val="center"/>
              <w:rPr>
                <w:rFonts w:hint="eastAsia" w:ascii="仿宋" w:hAnsi="仿宋" w:eastAsia="仿宋" w:cs="仿宋"/>
                <w:color w:val="auto"/>
                <w:sz w:val="28"/>
                <w:szCs w:val="28"/>
                <w:highlight w:val="none"/>
              </w:rPr>
            </w:pPr>
          </w:p>
        </w:tc>
      </w:tr>
      <w:tr w14:paraId="38F95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036DE0C8">
            <w:pPr>
              <w:widowControl/>
              <w:spacing w:line="560" w:lineRule="exact"/>
              <w:ind w:firstLine="560"/>
              <w:jc w:val="center"/>
              <w:rPr>
                <w:rFonts w:hint="eastAsia" w:ascii="仿宋" w:hAnsi="仿宋" w:eastAsia="仿宋" w:cs="仿宋"/>
                <w:color w:val="auto"/>
                <w:sz w:val="28"/>
                <w:szCs w:val="28"/>
                <w:highlight w:val="none"/>
              </w:rPr>
            </w:pPr>
          </w:p>
        </w:tc>
        <w:tc>
          <w:tcPr>
            <w:tcW w:w="1843" w:type="dxa"/>
            <w:noWrap w:val="0"/>
            <w:vAlign w:val="center"/>
          </w:tcPr>
          <w:p w14:paraId="2BA9854A">
            <w:pPr>
              <w:widowControl/>
              <w:spacing w:line="560" w:lineRule="exact"/>
              <w:ind w:firstLine="560"/>
              <w:jc w:val="center"/>
              <w:rPr>
                <w:rFonts w:hint="eastAsia" w:ascii="仿宋" w:hAnsi="仿宋" w:eastAsia="仿宋" w:cs="仿宋"/>
                <w:color w:val="auto"/>
                <w:sz w:val="28"/>
                <w:szCs w:val="28"/>
                <w:highlight w:val="none"/>
              </w:rPr>
            </w:pPr>
          </w:p>
        </w:tc>
        <w:tc>
          <w:tcPr>
            <w:tcW w:w="992" w:type="dxa"/>
            <w:noWrap w:val="0"/>
            <w:vAlign w:val="center"/>
          </w:tcPr>
          <w:p w14:paraId="35784605">
            <w:pPr>
              <w:widowControl/>
              <w:spacing w:line="560" w:lineRule="exact"/>
              <w:ind w:firstLine="560"/>
              <w:jc w:val="center"/>
              <w:rPr>
                <w:rFonts w:hint="eastAsia" w:ascii="仿宋" w:hAnsi="仿宋" w:eastAsia="仿宋" w:cs="仿宋"/>
                <w:color w:val="auto"/>
                <w:sz w:val="28"/>
                <w:szCs w:val="28"/>
                <w:highlight w:val="none"/>
              </w:rPr>
            </w:pPr>
          </w:p>
        </w:tc>
        <w:tc>
          <w:tcPr>
            <w:tcW w:w="1984" w:type="dxa"/>
            <w:noWrap w:val="0"/>
            <w:vAlign w:val="center"/>
          </w:tcPr>
          <w:p w14:paraId="2F08EAD8">
            <w:pPr>
              <w:widowControl/>
              <w:spacing w:line="560" w:lineRule="exact"/>
              <w:ind w:firstLine="560"/>
              <w:jc w:val="center"/>
              <w:rPr>
                <w:rFonts w:hint="eastAsia" w:ascii="仿宋" w:hAnsi="仿宋" w:eastAsia="仿宋" w:cs="仿宋"/>
                <w:color w:val="auto"/>
                <w:sz w:val="28"/>
                <w:szCs w:val="28"/>
                <w:highlight w:val="none"/>
              </w:rPr>
            </w:pPr>
          </w:p>
        </w:tc>
        <w:tc>
          <w:tcPr>
            <w:tcW w:w="1702" w:type="dxa"/>
            <w:noWrap w:val="0"/>
            <w:vAlign w:val="center"/>
          </w:tcPr>
          <w:p w14:paraId="550C442D">
            <w:pPr>
              <w:widowControl/>
              <w:spacing w:line="560" w:lineRule="exact"/>
              <w:ind w:firstLine="560"/>
              <w:jc w:val="center"/>
              <w:rPr>
                <w:rFonts w:hint="eastAsia" w:ascii="仿宋" w:hAnsi="仿宋" w:eastAsia="仿宋" w:cs="仿宋"/>
                <w:color w:val="auto"/>
                <w:sz w:val="28"/>
                <w:szCs w:val="28"/>
                <w:highlight w:val="none"/>
              </w:rPr>
            </w:pPr>
          </w:p>
        </w:tc>
        <w:tc>
          <w:tcPr>
            <w:tcW w:w="962" w:type="dxa"/>
            <w:noWrap w:val="0"/>
            <w:vAlign w:val="center"/>
          </w:tcPr>
          <w:p w14:paraId="59785D9B">
            <w:pPr>
              <w:widowControl/>
              <w:spacing w:line="560" w:lineRule="exact"/>
              <w:ind w:firstLine="560"/>
              <w:jc w:val="center"/>
              <w:rPr>
                <w:rFonts w:hint="eastAsia" w:ascii="仿宋" w:hAnsi="仿宋" w:eastAsia="仿宋" w:cs="仿宋"/>
                <w:color w:val="auto"/>
                <w:sz w:val="28"/>
                <w:szCs w:val="28"/>
                <w:highlight w:val="none"/>
              </w:rPr>
            </w:pPr>
          </w:p>
        </w:tc>
      </w:tr>
      <w:tr w14:paraId="0375D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3E6BC4BD">
            <w:pPr>
              <w:widowControl/>
              <w:spacing w:line="560" w:lineRule="exact"/>
              <w:ind w:firstLine="560"/>
              <w:jc w:val="center"/>
              <w:rPr>
                <w:rFonts w:hint="eastAsia" w:ascii="仿宋" w:hAnsi="仿宋" w:eastAsia="仿宋" w:cs="仿宋"/>
                <w:color w:val="auto"/>
                <w:sz w:val="28"/>
                <w:szCs w:val="28"/>
                <w:highlight w:val="none"/>
              </w:rPr>
            </w:pPr>
          </w:p>
        </w:tc>
        <w:tc>
          <w:tcPr>
            <w:tcW w:w="1843" w:type="dxa"/>
            <w:noWrap w:val="0"/>
            <w:vAlign w:val="center"/>
          </w:tcPr>
          <w:p w14:paraId="72880330">
            <w:pPr>
              <w:widowControl/>
              <w:spacing w:line="560" w:lineRule="exact"/>
              <w:ind w:firstLine="560"/>
              <w:jc w:val="center"/>
              <w:rPr>
                <w:rFonts w:hint="eastAsia" w:ascii="仿宋" w:hAnsi="仿宋" w:eastAsia="仿宋" w:cs="仿宋"/>
                <w:color w:val="auto"/>
                <w:sz w:val="28"/>
                <w:szCs w:val="28"/>
                <w:highlight w:val="none"/>
              </w:rPr>
            </w:pPr>
          </w:p>
        </w:tc>
        <w:tc>
          <w:tcPr>
            <w:tcW w:w="992" w:type="dxa"/>
            <w:noWrap w:val="0"/>
            <w:vAlign w:val="center"/>
          </w:tcPr>
          <w:p w14:paraId="7929CC6A">
            <w:pPr>
              <w:widowControl/>
              <w:spacing w:line="560" w:lineRule="exact"/>
              <w:ind w:firstLine="560"/>
              <w:jc w:val="center"/>
              <w:rPr>
                <w:rFonts w:hint="eastAsia" w:ascii="仿宋" w:hAnsi="仿宋" w:eastAsia="仿宋" w:cs="仿宋"/>
                <w:color w:val="auto"/>
                <w:sz w:val="28"/>
                <w:szCs w:val="28"/>
                <w:highlight w:val="none"/>
              </w:rPr>
            </w:pPr>
          </w:p>
        </w:tc>
        <w:tc>
          <w:tcPr>
            <w:tcW w:w="1984" w:type="dxa"/>
            <w:noWrap w:val="0"/>
            <w:vAlign w:val="center"/>
          </w:tcPr>
          <w:p w14:paraId="4010BE43">
            <w:pPr>
              <w:widowControl/>
              <w:spacing w:line="560" w:lineRule="exact"/>
              <w:ind w:firstLine="560"/>
              <w:jc w:val="center"/>
              <w:rPr>
                <w:rFonts w:hint="eastAsia" w:ascii="仿宋" w:hAnsi="仿宋" w:eastAsia="仿宋" w:cs="仿宋"/>
                <w:color w:val="auto"/>
                <w:sz w:val="28"/>
                <w:szCs w:val="28"/>
                <w:highlight w:val="none"/>
              </w:rPr>
            </w:pPr>
          </w:p>
        </w:tc>
        <w:tc>
          <w:tcPr>
            <w:tcW w:w="1702" w:type="dxa"/>
            <w:noWrap w:val="0"/>
            <w:vAlign w:val="center"/>
          </w:tcPr>
          <w:p w14:paraId="560AF215">
            <w:pPr>
              <w:widowControl/>
              <w:spacing w:line="560" w:lineRule="exact"/>
              <w:ind w:firstLine="560"/>
              <w:jc w:val="center"/>
              <w:rPr>
                <w:rFonts w:hint="eastAsia" w:ascii="仿宋" w:hAnsi="仿宋" w:eastAsia="仿宋" w:cs="仿宋"/>
                <w:color w:val="auto"/>
                <w:sz w:val="28"/>
                <w:szCs w:val="28"/>
                <w:highlight w:val="none"/>
              </w:rPr>
            </w:pPr>
          </w:p>
        </w:tc>
        <w:tc>
          <w:tcPr>
            <w:tcW w:w="962" w:type="dxa"/>
            <w:noWrap w:val="0"/>
            <w:vAlign w:val="center"/>
          </w:tcPr>
          <w:p w14:paraId="14E5D5AC">
            <w:pPr>
              <w:widowControl/>
              <w:spacing w:line="560" w:lineRule="exact"/>
              <w:ind w:firstLine="560"/>
              <w:jc w:val="center"/>
              <w:rPr>
                <w:rFonts w:hint="eastAsia" w:ascii="仿宋" w:hAnsi="仿宋" w:eastAsia="仿宋" w:cs="仿宋"/>
                <w:color w:val="auto"/>
                <w:sz w:val="28"/>
                <w:szCs w:val="28"/>
                <w:highlight w:val="none"/>
              </w:rPr>
            </w:pPr>
          </w:p>
        </w:tc>
      </w:tr>
    </w:tbl>
    <w:p w14:paraId="63A8D8A0">
      <w:pPr>
        <w:spacing w:line="480" w:lineRule="exact"/>
        <w:ind w:firstLine="4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涉及评分标准的项目组人员（含项目负责人）在本表中填报，相关证明材料附后。中标后，本表（身份证号信息除外）将随中标结果进行公开。</w:t>
      </w:r>
    </w:p>
    <w:p w14:paraId="48614ABA">
      <w:pPr>
        <w:spacing w:line="480" w:lineRule="exact"/>
        <w:ind w:firstLine="4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未涉及评分标准的其他人员可在中标后按采购需求要求进行配备，合同签订前报采购人认可。</w:t>
      </w:r>
    </w:p>
    <w:p w14:paraId="69D0620E">
      <w:pPr>
        <w:spacing w:line="480" w:lineRule="exact"/>
        <w:ind w:firstLine="4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如投标人中标，项目组人员应按本表中承诺人员操作，不得随意更换。</w:t>
      </w:r>
    </w:p>
    <w:p w14:paraId="73339993">
      <w:pPr>
        <w:spacing w:line="500" w:lineRule="exact"/>
        <w:ind w:firstLine="280"/>
        <w:rPr>
          <w:rFonts w:hint="eastAsia" w:ascii="仿宋" w:hAnsi="仿宋" w:eastAsia="仿宋" w:cs="仿宋"/>
          <w:color w:val="auto"/>
          <w:highlight w:val="none"/>
        </w:rPr>
      </w:pPr>
    </w:p>
    <w:p w14:paraId="00348AEC">
      <w:pPr>
        <w:keepNext w:val="0"/>
        <w:spacing w:before="120" w:after="120"/>
        <w:jc w:val="left"/>
        <w:rPr>
          <w:rFonts w:hint="eastAsia" w:ascii="仿宋" w:hAnsi="仿宋" w:eastAsia="仿宋" w:cs="仿宋"/>
          <w:color w:val="auto"/>
          <w:highlight w:val="none"/>
        </w:rPr>
      </w:pPr>
      <w:r>
        <w:rPr>
          <w:rFonts w:hint="eastAsia" w:ascii="仿宋" w:hAnsi="仿宋" w:eastAsia="仿宋" w:cs="仿宋"/>
          <w:color w:val="auto"/>
          <w:highlight w:val="none"/>
        </w:rPr>
        <w:br w:type="page" w:clear="all"/>
      </w:r>
      <w:bookmarkStart w:id="169" w:name="_Toc11176"/>
      <w:r>
        <w:rPr>
          <w:rFonts w:hint="eastAsia" w:ascii="仿宋" w:hAnsi="仿宋" w:eastAsia="仿宋" w:cs="仿宋"/>
          <w:b/>
          <w:bCs/>
          <w:color w:val="auto"/>
          <w:sz w:val="32"/>
          <w:szCs w:val="32"/>
          <w:highlight w:val="none"/>
          <w:lang w:val="en-US" w:eastAsia="zh-CN"/>
        </w:rPr>
        <w:t>九、</w:t>
      </w:r>
      <w:bookmarkEnd w:id="169"/>
      <w:r>
        <w:rPr>
          <w:rFonts w:hint="eastAsia" w:ascii="仿宋" w:hAnsi="仿宋" w:eastAsia="仿宋" w:cs="仿宋"/>
          <w:b/>
          <w:bCs/>
          <w:color w:val="auto"/>
          <w:sz w:val="32"/>
          <w:szCs w:val="32"/>
          <w:highlight w:val="none"/>
          <w:lang w:val="en-US" w:eastAsia="zh-CN"/>
        </w:rPr>
        <w:t>企业业绩</w:t>
      </w:r>
    </w:p>
    <w:p w14:paraId="01D08547">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投标人承担类似项目业绩一览表</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9"/>
        <w:gridCol w:w="3827"/>
        <w:gridCol w:w="2433"/>
        <w:gridCol w:w="1395"/>
      </w:tblGrid>
      <w:tr w14:paraId="6ED28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29" w:type="dxa"/>
            <w:noWrap w:val="0"/>
            <w:vAlign w:val="top"/>
          </w:tcPr>
          <w:p w14:paraId="1305DD1A">
            <w:pPr>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827" w:type="dxa"/>
            <w:noWrap w:val="0"/>
            <w:vAlign w:val="center"/>
          </w:tcPr>
          <w:p w14:paraId="688B53D6">
            <w:pPr>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2433" w:type="dxa"/>
            <w:noWrap w:val="0"/>
            <w:vAlign w:val="center"/>
          </w:tcPr>
          <w:p w14:paraId="0BB42DF6">
            <w:pPr>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采购单位</w:t>
            </w:r>
          </w:p>
        </w:tc>
        <w:tc>
          <w:tcPr>
            <w:tcW w:w="1395" w:type="dxa"/>
            <w:noWrap w:val="0"/>
            <w:vAlign w:val="center"/>
          </w:tcPr>
          <w:p w14:paraId="0DE593BE">
            <w:pPr>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合同金额</w:t>
            </w:r>
          </w:p>
        </w:tc>
      </w:tr>
      <w:tr w14:paraId="68363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vAlign w:val="top"/>
          </w:tcPr>
          <w:p w14:paraId="113D82F8">
            <w:pPr>
              <w:spacing w:line="560" w:lineRule="exact"/>
              <w:jc w:val="center"/>
              <w:rPr>
                <w:rFonts w:hint="eastAsia" w:ascii="仿宋" w:hAnsi="仿宋" w:eastAsia="仿宋" w:cs="仿宋"/>
                <w:color w:val="auto"/>
                <w:sz w:val="28"/>
                <w:highlight w:val="none"/>
              </w:rPr>
            </w:pPr>
          </w:p>
        </w:tc>
        <w:tc>
          <w:tcPr>
            <w:tcW w:w="3827" w:type="dxa"/>
            <w:noWrap w:val="0"/>
            <w:vAlign w:val="center"/>
          </w:tcPr>
          <w:p w14:paraId="788DB538">
            <w:pPr>
              <w:spacing w:line="560" w:lineRule="exact"/>
              <w:jc w:val="center"/>
              <w:rPr>
                <w:rFonts w:hint="eastAsia" w:ascii="仿宋" w:hAnsi="仿宋" w:eastAsia="仿宋" w:cs="仿宋"/>
                <w:color w:val="auto"/>
                <w:sz w:val="28"/>
                <w:highlight w:val="none"/>
              </w:rPr>
            </w:pPr>
          </w:p>
        </w:tc>
        <w:tc>
          <w:tcPr>
            <w:tcW w:w="2433" w:type="dxa"/>
            <w:noWrap w:val="0"/>
            <w:vAlign w:val="center"/>
          </w:tcPr>
          <w:p w14:paraId="12E5F7CF">
            <w:pPr>
              <w:spacing w:line="560" w:lineRule="exact"/>
              <w:jc w:val="center"/>
              <w:rPr>
                <w:rFonts w:hint="eastAsia" w:ascii="仿宋" w:hAnsi="仿宋" w:eastAsia="仿宋" w:cs="仿宋"/>
                <w:color w:val="auto"/>
                <w:sz w:val="28"/>
                <w:highlight w:val="none"/>
              </w:rPr>
            </w:pPr>
          </w:p>
        </w:tc>
        <w:tc>
          <w:tcPr>
            <w:tcW w:w="1395" w:type="dxa"/>
            <w:noWrap w:val="0"/>
            <w:vAlign w:val="center"/>
          </w:tcPr>
          <w:p w14:paraId="76B7D3E4">
            <w:pPr>
              <w:spacing w:line="560" w:lineRule="exact"/>
              <w:jc w:val="center"/>
              <w:rPr>
                <w:rFonts w:hint="eastAsia" w:ascii="仿宋" w:hAnsi="仿宋" w:eastAsia="仿宋" w:cs="仿宋"/>
                <w:color w:val="auto"/>
                <w:sz w:val="28"/>
                <w:highlight w:val="none"/>
              </w:rPr>
            </w:pPr>
          </w:p>
        </w:tc>
      </w:tr>
      <w:tr w14:paraId="1C409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vAlign w:val="top"/>
          </w:tcPr>
          <w:p w14:paraId="1D69CE94">
            <w:pPr>
              <w:spacing w:line="560" w:lineRule="exact"/>
              <w:jc w:val="center"/>
              <w:rPr>
                <w:rFonts w:hint="eastAsia" w:ascii="仿宋" w:hAnsi="仿宋" w:eastAsia="仿宋" w:cs="仿宋"/>
                <w:color w:val="auto"/>
                <w:sz w:val="28"/>
                <w:highlight w:val="none"/>
              </w:rPr>
            </w:pPr>
          </w:p>
        </w:tc>
        <w:tc>
          <w:tcPr>
            <w:tcW w:w="3827" w:type="dxa"/>
            <w:noWrap w:val="0"/>
            <w:vAlign w:val="center"/>
          </w:tcPr>
          <w:p w14:paraId="37B16565">
            <w:pPr>
              <w:spacing w:line="560" w:lineRule="exact"/>
              <w:jc w:val="center"/>
              <w:rPr>
                <w:rFonts w:hint="eastAsia" w:ascii="仿宋" w:hAnsi="仿宋" w:eastAsia="仿宋" w:cs="仿宋"/>
                <w:color w:val="auto"/>
                <w:sz w:val="28"/>
                <w:highlight w:val="none"/>
              </w:rPr>
            </w:pPr>
          </w:p>
        </w:tc>
        <w:tc>
          <w:tcPr>
            <w:tcW w:w="2433" w:type="dxa"/>
            <w:noWrap w:val="0"/>
            <w:vAlign w:val="center"/>
          </w:tcPr>
          <w:p w14:paraId="70E1F37F">
            <w:pPr>
              <w:spacing w:line="560" w:lineRule="exact"/>
              <w:jc w:val="center"/>
              <w:rPr>
                <w:rFonts w:hint="eastAsia" w:ascii="仿宋" w:hAnsi="仿宋" w:eastAsia="仿宋" w:cs="仿宋"/>
                <w:color w:val="auto"/>
                <w:sz w:val="28"/>
                <w:highlight w:val="none"/>
              </w:rPr>
            </w:pPr>
          </w:p>
        </w:tc>
        <w:tc>
          <w:tcPr>
            <w:tcW w:w="1395" w:type="dxa"/>
            <w:noWrap w:val="0"/>
            <w:vAlign w:val="center"/>
          </w:tcPr>
          <w:p w14:paraId="4CAAB30F">
            <w:pPr>
              <w:spacing w:line="560" w:lineRule="exact"/>
              <w:jc w:val="center"/>
              <w:rPr>
                <w:rFonts w:hint="eastAsia" w:ascii="仿宋" w:hAnsi="仿宋" w:eastAsia="仿宋" w:cs="仿宋"/>
                <w:color w:val="auto"/>
                <w:sz w:val="28"/>
                <w:highlight w:val="none"/>
              </w:rPr>
            </w:pPr>
          </w:p>
        </w:tc>
      </w:tr>
      <w:tr w14:paraId="3854E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vAlign w:val="top"/>
          </w:tcPr>
          <w:p w14:paraId="1BC1106E">
            <w:pPr>
              <w:spacing w:line="560" w:lineRule="exact"/>
              <w:jc w:val="center"/>
              <w:rPr>
                <w:rFonts w:hint="eastAsia" w:ascii="仿宋" w:hAnsi="仿宋" w:eastAsia="仿宋" w:cs="仿宋"/>
                <w:color w:val="auto"/>
                <w:sz w:val="28"/>
                <w:highlight w:val="none"/>
              </w:rPr>
            </w:pPr>
          </w:p>
        </w:tc>
        <w:tc>
          <w:tcPr>
            <w:tcW w:w="3827" w:type="dxa"/>
            <w:noWrap w:val="0"/>
            <w:vAlign w:val="center"/>
          </w:tcPr>
          <w:p w14:paraId="641FB647">
            <w:pPr>
              <w:spacing w:line="560" w:lineRule="exact"/>
              <w:jc w:val="center"/>
              <w:rPr>
                <w:rFonts w:hint="eastAsia" w:ascii="仿宋" w:hAnsi="仿宋" w:eastAsia="仿宋" w:cs="仿宋"/>
                <w:color w:val="auto"/>
                <w:sz w:val="28"/>
                <w:highlight w:val="none"/>
              </w:rPr>
            </w:pPr>
          </w:p>
        </w:tc>
        <w:tc>
          <w:tcPr>
            <w:tcW w:w="2433" w:type="dxa"/>
            <w:noWrap w:val="0"/>
            <w:vAlign w:val="center"/>
          </w:tcPr>
          <w:p w14:paraId="154CA4FB">
            <w:pPr>
              <w:spacing w:line="560" w:lineRule="exact"/>
              <w:jc w:val="center"/>
              <w:rPr>
                <w:rFonts w:hint="eastAsia" w:ascii="仿宋" w:hAnsi="仿宋" w:eastAsia="仿宋" w:cs="仿宋"/>
                <w:color w:val="auto"/>
                <w:sz w:val="28"/>
                <w:highlight w:val="none"/>
              </w:rPr>
            </w:pPr>
          </w:p>
        </w:tc>
        <w:tc>
          <w:tcPr>
            <w:tcW w:w="1395" w:type="dxa"/>
            <w:noWrap w:val="0"/>
            <w:vAlign w:val="center"/>
          </w:tcPr>
          <w:p w14:paraId="0F1F6361">
            <w:pPr>
              <w:spacing w:line="560" w:lineRule="exact"/>
              <w:jc w:val="center"/>
              <w:rPr>
                <w:rFonts w:hint="eastAsia" w:ascii="仿宋" w:hAnsi="仿宋" w:eastAsia="仿宋" w:cs="仿宋"/>
                <w:color w:val="auto"/>
                <w:sz w:val="28"/>
                <w:highlight w:val="none"/>
              </w:rPr>
            </w:pPr>
          </w:p>
        </w:tc>
      </w:tr>
      <w:tr w14:paraId="4A99B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1229" w:type="dxa"/>
            <w:noWrap w:val="0"/>
            <w:vAlign w:val="top"/>
          </w:tcPr>
          <w:p w14:paraId="06175532">
            <w:pPr>
              <w:spacing w:line="560" w:lineRule="exact"/>
              <w:jc w:val="center"/>
              <w:rPr>
                <w:rFonts w:hint="eastAsia" w:ascii="仿宋" w:hAnsi="仿宋" w:eastAsia="仿宋" w:cs="仿宋"/>
                <w:color w:val="auto"/>
                <w:sz w:val="28"/>
                <w:highlight w:val="none"/>
              </w:rPr>
            </w:pPr>
          </w:p>
        </w:tc>
        <w:tc>
          <w:tcPr>
            <w:tcW w:w="3827" w:type="dxa"/>
            <w:noWrap w:val="0"/>
            <w:vAlign w:val="center"/>
          </w:tcPr>
          <w:p w14:paraId="74349349">
            <w:pPr>
              <w:spacing w:line="560" w:lineRule="exact"/>
              <w:jc w:val="center"/>
              <w:rPr>
                <w:rFonts w:hint="eastAsia" w:ascii="仿宋" w:hAnsi="仿宋" w:eastAsia="仿宋" w:cs="仿宋"/>
                <w:color w:val="auto"/>
                <w:sz w:val="28"/>
                <w:highlight w:val="none"/>
              </w:rPr>
            </w:pPr>
          </w:p>
        </w:tc>
        <w:tc>
          <w:tcPr>
            <w:tcW w:w="2433" w:type="dxa"/>
            <w:noWrap w:val="0"/>
            <w:vAlign w:val="center"/>
          </w:tcPr>
          <w:p w14:paraId="01604B88">
            <w:pPr>
              <w:spacing w:line="560" w:lineRule="exact"/>
              <w:jc w:val="center"/>
              <w:rPr>
                <w:rFonts w:hint="eastAsia" w:ascii="仿宋" w:hAnsi="仿宋" w:eastAsia="仿宋" w:cs="仿宋"/>
                <w:color w:val="auto"/>
                <w:sz w:val="28"/>
                <w:highlight w:val="none"/>
              </w:rPr>
            </w:pPr>
          </w:p>
        </w:tc>
        <w:tc>
          <w:tcPr>
            <w:tcW w:w="1395" w:type="dxa"/>
            <w:noWrap w:val="0"/>
            <w:vAlign w:val="center"/>
          </w:tcPr>
          <w:p w14:paraId="2EEE74BA">
            <w:pPr>
              <w:spacing w:line="560" w:lineRule="exact"/>
              <w:jc w:val="center"/>
              <w:rPr>
                <w:rFonts w:hint="eastAsia" w:ascii="仿宋" w:hAnsi="仿宋" w:eastAsia="仿宋" w:cs="仿宋"/>
                <w:color w:val="auto"/>
                <w:sz w:val="28"/>
                <w:highlight w:val="none"/>
              </w:rPr>
            </w:pPr>
          </w:p>
        </w:tc>
      </w:tr>
    </w:tbl>
    <w:p w14:paraId="6496F7B9">
      <w:pPr>
        <w:spacing w:line="480" w:lineRule="exact"/>
        <w:ind w:firstLine="4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注：涉及评分标准的“企业业绩”在本表中填报，相关证明材料附后。中标后，本表将随中标结果进行公开。</w:t>
      </w:r>
    </w:p>
    <w:p w14:paraId="3AB4D5F4">
      <w:pPr>
        <w:keepNext w:val="0"/>
        <w:spacing w:before="120" w:after="120"/>
        <w:jc w:val="left"/>
        <w:rPr>
          <w:rFonts w:hint="eastAsia" w:ascii="仿宋" w:hAnsi="仿宋" w:eastAsia="仿宋" w:cs="仿宋"/>
          <w:color w:val="auto"/>
          <w:highlight w:val="none"/>
        </w:rPr>
      </w:pPr>
      <w:r>
        <w:rPr>
          <w:rFonts w:hint="eastAsia" w:ascii="仿宋" w:hAnsi="仿宋" w:eastAsia="仿宋" w:cs="仿宋"/>
          <w:color w:val="auto"/>
          <w:highlight w:val="none"/>
        </w:rPr>
        <w:br w:type="page" w:clear="all"/>
      </w:r>
      <w:bookmarkStart w:id="170" w:name="_Toc28140"/>
    </w:p>
    <w:p w14:paraId="058D443A">
      <w:pPr>
        <w:keepNext w:val="0"/>
        <w:spacing w:before="120" w:after="120"/>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十、服务要求承诺</w:t>
      </w:r>
    </w:p>
    <w:p w14:paraId="71110B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服务要求承诺</w:t>
      </w:r>
    </w:p>
    <w:p w14:paraId="2C9A7A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（采购单位名称）：</w:t>
      </w:r>
    </w:p>
    <w:p w14:paraId="3154EE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eastAsia="zh-CN"/>
        </w:rPr>
        <w:t>宿迁市申报国际湿地城市认证技术服务项目</w:t>
      </w:r>
      <w:r>
        <w:rPr>
          <w:rFonts w:hint="eastAsia" w:ascii="仿宋" w:hAnsi="仿宋" w:eastAsia="仿宋" w:cs="仿宋"/>
          <w:color w:val="auto"/>
          <w:sz w:val="24"/>
          <w:szCs w:val="24"/>
          <w:highlight w:val="none"/>
        </w:rPr>
        <w:t>的招标文件</w:t>
      </w:r>
      <w:r>
        <w:rPr>
          <w:rFonts w:hint="eastAsia" w:ascii="仿宋" w:hAnsi="仿宋" w:eastAsia="仿宋" w:cs="仿宋"/>
          <w:color w:val="auto"/>
          <w:sz w:val="24"/>
          <w:szCs w:val="24"/>
          <w:highlight w:val="none"/>
          <w:lang w:val="en-US" w:eastAsia="zh-CN"/>
        </w:rPr>
        <w:t>相关要求</w:t>
      </w:r>
      <w:r>
        <w:rPr>
          <w:rFonts w:hint="eastAsia" w:ascii="仿宋" w:hAnsi="仿宋" w:eastAsia="仿宋" w:cs="仿宋"/>
          <w:color w:val="auto"/>
          <w:sz w:val="24"/>
          <w:szCs w:val="24"/>
          <w:highlight w:val="none"/>
        </w:rPr>
        <w:t>，承诺如下：完全响应本项</w:t>
      </w:r>
      <w:r>
        <w:rPr>
          <w:rFonts w:hint="eastAsia" w:ascii="仿宋" w:hAnsi="仿宋" w:eastAsia="仿宋" w:cs="仿宋"/>
          <w:b w:val="0"/>
          <w:bCs w:val="0"/>
          <w:color w:val="auto"/>
          <w:sz w:val="24"/>
          <w:szCs w:val="24"/>
          <w:highlight w:val="none"/>
        </w:rPr>
        <w:t>目</w:t>
      </w:r>
      <w:r>
        <w:rPr>
          <w:rFonts w:hint="eastAsia" w:ascii="仿宋" w:hAnsi="仿宋" w:eastAsia="仿宋" w:cs="仿宋"/>
          <w:b w:val="0"/>
          <w:bCs w:val="0"/>
          <w:i w:val="0"/>
          <w:iCs w:val="0"/>
          <w:color w:val="auto"/>
          <w:kern w:val="2"/>
          <w:sz w:val="24"/>
          <w:szCs w:val="24"/>
          <w:highlight w:val="none"/>
          <w:lang w:val="en-US" w:eastAsia="zh-CN" w:bidi="ar-SA"/>
        </w:rPr>
        <w:t>招标文件中提出的全部要求。</w:t>
      </w:r>
      <w:r>
        <w:rPr>
          <w:rFonts w:hint="eastAsia" w:ascii="仿宋" w:hAnsi="仿宋" w:eastAsia="仿宋" w:cs="仿宋"/>
          <w:b w:val="0"/>
          <w:bCs w:val="0"/>
          <w:color w:val="auto"/>
          <w:sz w:val="24"/>
          <w:szCs w:val="24"/>
          <w:highlight w:val="none"/>
        </w:rPr>
        <w:t>如我单位中标，将按照响应内容进行履约。如我单位投标文件的响应方案优于采购需求，将按投标文件履约。</w:t>
      </w:r>
    </w:p>
    <w:p w14:paraId="149C0F0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773C644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3834"/>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单位名称（盖CA电子公章）：</w:t>
      </w:r>
      <w:r>
        <w:rPr>
          <w:rFonts w:hint="eastAsia" w:ascii="仿宋" w:hAnsi="仿宋" w:eastAsia="仿宋" w:cs="仿宋"/>
          <w:color w:val="auto"/>
          <w:sz w:val="24"/>
          <w:szCs w:val="24"/>
          <w:highlight w:val="none"/>
        </w:rPr>
        <w:t>  </w:t>
      </w:r>
    </w:p>
    <w:p w14:paraId="106D4C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3B66CFF9">
      <w:pPr>
        <w:keepNext w:val="0"/>
        <w:spacing w:before="120" w:after="120"/>
        <w:jc w:val="left"/>
        <w:rPr>
          <w:rFonts w:hint="eastAsia" w:ascii="仿宋" w:hAnsi="仿宋" w:eastAsia="仿宋" w:cs="仿宋"/>
          <w:b/>
          <w:bCs/>
          <w:color w:val="auto"/>
          <w:highlight w:val="none"/>
        </w:rPr>
      </w:pPr>
      <w:r>
        <w:rPr>
          <w:rFonts w:hint="eastAsia" w:ascii="仿宋" w:hAnsi="仿宋" w:eastAsia="仿宋" w:cs="仿宋"/>
          <w:b/>
          <w:bCs/>
          <w:color w:val="auto"/>
          <w:sz w:val="32"/>
          <w:szCs w:val="32"/>
          <w:highlight w:val="none"/>
          <w:lang w:val="en-US" w:eastAsia="zh-CN"/>
        </w:rPr>
        <w:t>十一、投标所需其他材料</w:t>
      </w:r>
      <w:bookmarkEnd w:id="170"/>
    </w:p>
    <w:p w14:paraId="2CF794D7">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请在此文档中增加投标所需其他相关内容（包括资格要求、评分办法、采购需求中涉及的证件证明</w:t>
      </w:r>
      <w:r>
        <w:rPr>
          <w:rFonts w:hint="eastAsia" w:ascii="仿宋" w:hAnsi="仿宋" w:eastAsia="仿宋" w:cs="仿宋"/>
          <w:color w:val="auto"/>
          <w:sz w:val="24"/>
          <w:szCs w:val="24"/>
          <w:highlight w:val="none"/>
          <w:lang w:eastAsia="zh-CN"/>
        </w:rPr>
        <w:t>及其他</w:t>
      </w:r>
      <w:r>
        <w:rPr>
          <w:rFonts w:hint="eastAsia" w:ascii="仿宋" w:hAnsi="仿宋" w:eastAsia="仿宋" w:cs="仿宋"/>
          <w:color w:val="auto"/>
          <w:sz w:val="24"/>
          <w:szCs w:val="24"/>
          <w:highlight w:val="none"/>
        </w:rPr>
        <w:t>投标人认为有必要提供的资料），如没有请将此空文档上传。</w:t>
      </w:r>
    </w:p>
    <w:p w14:paraId="553DC35C">
      <w:pPr>
        <w:rPr>
          <w:rFonts w:hint="eastAsia" w:ascii="仿宋" w:hAnsi="仿宋" w:eastAsia="仿宋" w:cs="仿宋"/>
          <w:color w:val="auto"/>
          <w:sz w:val="20"/>
          <w:highlight w:val="none"/>
        </w:rPr>
      </w:pPr>
      <w:r>
        <w:rPr>
          <w:rFonts w:hint="eastAsia" w:ascii="仿宋" w:hAnsi="仿宋" w:eastAsia="仿宋" w:cs="仿宋"/>
          <w:color w:val="auto"/>
          <w:sz w:val="20"/>
          <w:highlight w:val="none"/>
        </w:rPr>
        <w:t xml:space="preserve"> </w:t>
      </w:r>
    </w:p>
    <w:p w14:paraId="14ADE569">
      <w:pPr>
        <w:rPr>
          <w:rFonts w:hint="eastAsia" w:ascii="仿宋" w:hAnsi="仿宋" w:eastAsia="仿宋" w:cs="仿宋"/>
          <w:color w:val="auto"/>
          <w:highlight w:val="none"/>
        </w:rPr>
      </w:pPr>
    </w:p>
    <w:bookmarkEnd w:id="121"/>
    <w:bookmarkEnd w:id="122"/>
    <w:bookmarkEnd w:id="165"/>
    <w:p w14:paraId="46A94504">
      <w:pPr>
        <w:rPr>
          <w:rFonts w:hint="eastAsia" w:ascii="仿宋" w:hAnsi="仿宋" w:eastAsia="仿宋" w:cs="仿宋"/>
          <w:color w:val="auto"/>
          <w:sz w:val="32"/>
          <w:highlight w:val="none"/>
        </w:rPr>
      </w:pPr>
    </w:p>
    <w:p w14:paraId="5E015E1D">
      <w:pPr>
        <w:ind w:left="0" w:leftChars="0" w:firstLine="0" w:firstLineChars="0"/>
        <w:rPr>
          <w:rFonts w:hint="eastAsia" w:ascii="仿宋" w:hAnsi="仿宋" w:eastAsia="仿宋" w:cs="仿宋"/>
          <w:color w:val="auto"/>
          <w:sz w:val="24"/>
          <w:szCs w:val="24"/>
          <w:highlight w:val="none"/>
        </w:rPr>
      </w:pPr>
    </w:p>
    <w:sectPr>
      <w:pgSz w:w="11906" w:h="16838"/>
      <w:pgMar w:top="1418" w:right="1588" w:bottom="1418" w:left="1365" w:header="851" w:footer="907" w:gutter="0"/>
      <w:pgBorders>
        <w:top w:val="none" w:sz="0" w:space="0"/>
        <w:left w:val="none" w:sz="0" w:space="0"/>
        <w:bottom w:val="none" w:sz="0" w:space="0"/>
        <w:right w:val="none" w:sz="0" w:space="0"/>
      </w:pgBorders>
      <w:pgNumType w:fmt="decimal"/>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Arial">
    <w:panose1 w:val="020B0604020202020204"/>
    <w:charset w:val="00"/>
    <w:family w:val="auto"/>
    <w:pitch w:val="default"/>
    <w:sig w:usb0="E0002EFF" w:usb1="C000785B" w:usb2="00000009" w:usb3="00000000" w:csb0="400001FF" w:csb1="FFFF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ED089">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602A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79F93">
    <w:pP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FD881">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E0FD881">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59D18">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4F0E8">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944F0E8">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C1C39">
    <w:pPr>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B91B4"/>
    <w:multiLevelType w:val="singleLevel"/>
    <w:tmpl w:val="E8AB91B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6EB5"/>
    <w:rsid w:val="05E7356D"/>
    <w:rsid w:val="06F510A9"/>
    <w:rsid w:val="072639A0"/>
    <w:rsid w:val="08404F36"/>
    <w:rsid w:val="09763C1B"/>
    <w:rsid w:val="0E4E65F0"/>
    <w:rsid w:val="0E9B76E7"/>
    <w:rsid w:val="0F7505F6"/>
    <w:rsid w:val="10572E1C"/>
    <w:rsid w:val="12063AE5"/>
    <w:rsid w:val="12451EF8"/>
    <w:rsid w:val="133236CD"/>
    <w:rsid w:val="14A90080"/>
    <w:rsid w:val="151F195B"/>
    <w:rsid w:val="165E2A90"/>
    <w:rsid w:val="17153039"/>
    <w:rsid w:val="17595F83"/>
    <w:rsid w:val="18011EED"/>
    <w:rsid w:val="18167697"/>
    <w:rsid w:val="18905865"/>
    <w:rsid w:val="19766A09"/>
    <w:rsid w:val="1C3A2B5A"/>
    <w:rsid w:val="1CA428B8"/>
    <w:rsid w:val="1DFD1A31"/>
    <w:rsid w:val="1E28204D"/>
    <w:rsid w:val="1F1D3069"/>
    <w:rsid w:val="228420E3"/>
    <w:rsid w:val="26E113BB"/>
    <w:rsid w:val="2EAF7B0D"/>
    <w:rsid w:val="2F581739"/>
    <w:rsid w:val="2FFD0E93"/>
    <w:rsid w:val="32A142A3"/>
    <w:rsid w:val="33791178"/>
    <w:rsid w:val="33E270AC"/>
    <w:rsid w:val="35094BFC"/>
    <w:rsid w:val="352661AF"/>
    <w:rsid w:val="392D5F93"/>
    <w:rsid w:val="3A03654B"/>
    <w:rsid w:val="3A7A0D32"/>
    <w:rsid w:val="3ADE0FD1"/>
    <w:rsid w:val="3D45620E"/>
    <w:rsid w:val="40FA4F7A"/>
    <w:rsid w:val="416C37A1"/>
    <w:rsid w:val="430A332D"/>
    <w:rsid w:val="43C315E9"/>
    <w:rsid w:val="45012E90"/>
    <w:rsid w:val="452B429C"/>
    <w:rsid w:val="46C6454B"/>
    <w:rsid w:val="47394A4E"/>
    <w:rsid w:val="485B6C01"/>
    <w:rsid w:val="4C1768AD"/>
    <w:rsid w:val="4F5D32A4"/>
    <w:rsid w:val="51D210EB"/>
    <w:rsid w:val="52D153C4"/>
    <w:rsid w:val="55102DB5"/>
    <w:rsid w:val="56421CC0"/>
    <w:rsid w:val="568737CE"/>
    <w:rsid w:val="58AD5B53"/>
    <w:rsid w:val="5A05126A"/>
    <w:rsid w:val="5B6B7CAB"/>
    <w:rsid w:val="5CC826A5"/>
    <w:rsid w:val="5E916AC6"/>
    <w:rsid w:val="5F4B6950"/>
    <w:rsid w:val="61242929"/>
    <w:rsid w:val="629F1CF7"/>
    <w:rsid w:val="6401394C"/>
    <w:rsid w:val="6405639A"/>
    <w:rsid w:val="65993FFF"/>
    <w:rsid w:val="67DA1E8F"/>
    <w:rsid w:val="6D570EE6"/>
    <w:rsid w:val="70C44AD9"/>
    <w:rsid w:val="735A0FBB"/>
    <w:rsid w:val="73B753FD"/>
    <w:rsid w:val="76912812"/>
    <w:rsid w:val="76D33AD2"/>
    <w:rsid w:val="78A97074"/>
    <w:rsid w:val="795370C3"/>
    <w:rsid w:val="79A47B9E"/>
    <w:rsid w:val="7A0F33E5"/>
    <w:rsid w:val="7C3B603B"/>
    <w:rsid w:val="7CF95B0B"/>
    <w:rsid w:val="7E665D55"/>
    <w:rsid w:val="7FFB72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custom-tag-placeholder-class"/>
    <w:link w:val="1"/>
    <w:qFormat/>
    <w:uiPriority w:val="0"/>
    <w:rPr>
      <w:rFonts w:asciiTheme="minorHAnsi" w:hAnsiTheme="minorHAnsi" w:eastAsiaTheme="minorEastAsia" w:cstheme="minorBidi"/>
      <w:sz w:val="21"/>
      <w:szCs w:val="22"/>
    </w:rPr>
  </w:style>
  <w:style w:type="paragraph" w:customStyle="1" w:styleId="5">
    <w:name w:val="正文_3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
    <w:name w:val="正文_3"/>
    <w:next w:val="7"/>
    <w:qFormat/>
    <w:uiPriority w:val="0"/>
    <w:pPr>
      <w:widowControl w:val="0"/>
      <w:jc w:val="both"/>
    </w:pPr>
    <w:rPr>
      <w:rFonts w:hint="default" w:ascii="Calibri" w:hAnsi="Calibri" w:eastAsia="宋体" w:cs="Times New Roman"/>
      <w:sz w:val="21"/>
      <w:szCs w:val="22"/>
      <w:lang w:val="en-US" w:eastAsia="zh-CN" w:bidi="ar-SA"/>
    </w:rPr>
  </w:style>
  <w:style w:type="paragraph" w:customStyle="1" w:styleId="7">
    <w:name w:val="正文首行缩进 2_1"/>
    <w:basedOn w:val="8"/>
    <w:next w:val="10"/>
    <w:qFormat/>
    <w:uiPriority w:val="0"/>
    <w:pPr>
      <w:spacing w:after="120"/>
      <w:ind w:left="200" w:firstLine="200"/>
    </w:pPr>
    <w:rPr>
      <w:rFonts w:ascii="Times New Roman"/>
      <w:szCs w:val="24"/>
    </w:rPr>
  </w:style>
  <w:style w:type="paragraph" w:customStyle="1" w:styleId="8">
    <w:name w:val="正文文本缩进_1"/>
    <w:basedOn w:val="9"/>
    <w:next w:val="7"/>
    <w:qFormat/>
    <w:uiPriority w:val="0"/>
    <w:pPr>
      <w:ind w:firstLine="225"/>
    </w:pPr>
    <w:rPr>
      <w:rFonts w:ascii="仿宋_GB2312" w:eastAsia="仿宋_GB2312"/>
      <w:sz w:val="32"/>
    </w:rPr>
  </w:style>
  <w:style w:type="paragraph" w:customStyle="1" w:styleId="9">
    <w:name w:val="正文_18"/>
    <w:next w:val="8"/>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0">
    <w:name w:val="xl53_0"/>
    <w:next w:val="6"/>
    <w:qFormat/>
    <w:uiPriority w:val="0"/>
    <w:pPr>
      <w:pBdr>
        <w:top w:val="single" w:color="000000" w:sz="4" w:space="0"/>
        <w:left w:val="single" w:color="000000" w:sz="8" w:space="0"/>
        <w:bottom w:val="single" w:color="000000" w:sz="8" w:space="0"/>
        <w:right w:val="single" w:color="000000" w:sz="4" w:space="0"/>
      </w:pBdr>
      <w:spacing w:before="100" w:beforeAutospacing="1" w:after="100" w:afterAutospacing="1"/>
      <w:jc w:val="center"/>
    </w:pPr>
    <w:rPr>
      <w:rFonts w:hint="default" w:ascii="宋体" w:hAnsi="宋体" w:eastAsia="宋体" w:cs="Times New Roman"/>
      <w:b/>
      <w:bCs/>
      <w:lang w:val="en-US" w:eastAsia="zh-CN" w:bidi="ar-SA"/>
    </w:rPr>
  </w:style>
  <w:style w:type="paragraph" w:customStyle="1" w:styleId="11">
    <w:name w:val="正文_9_0"/>
    <w:qFormat/>
    <w:uiPriority w:val="0"/>
    <w:pPr>
      <w:widowControl w:val="0"/>
      <w:jc w:val="both"/>
    </w:pPr>
    <w:rPr>
      <w:rFonts w:hint="default"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9386</Words>
  <Characters>9980</Characters>
  <TotalTime>7</TotalTime>
  <ScaleCrop>false</ScaleCrop>
  <LinksUpToDate>false</LinksUpToDate>
  <CharactersWithSpaces>10063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2025-10-10T06:09:00Z</dcterms:created>
  <dc:creator>Administrator</dc:creator>
  <cp:lastModifiedBy>康康</cp:lastModifiedBy>
  <dcterms:modified xsi:type="dcterms:W3CDTF">2025-10-15T08:24:39Z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eyJoZGlkIjoiMDRlNWY3MDhkYzU4NzBjNzRlMTRmYzRlODZkNDIxZWIiLCJ1c2VySWQiOiI2MDUwOTEzNjcifQ==</vt:lpwstr>
  </property>
  <property fmtid="{D5CDD505-2E9C-101B-9397-08002B2CF9AE}" pid="3" name="KSOProductBuildVer">
    <vt:lpwstr>2052-12.1.0.22529</vt:lpwstr>
  </property>
  <property fmtid="{D5CDD505-2E9C-101B-9397-08002B2CF9AE}" pid="4" name="ICV">
    <vt:lpwstr>03927D97EF0C4A9EBC6E60DB3AB2EED6_12</vt:lpwstr>
  </property>
</Properties>
</file>